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244B6" w14:textId="77777777" w:rsidR="0048315D" w:rsidRDefault="0048315D" w:rsidP="007F613E">
      <w:pPr>
        <w:jc w:val="center"/>
        <w:rPr>
          <w:b/>
          <w:bCs/>
          <w:sz w:val="28"/>
          <w:szCs w:val="28"/>
        </w:rPr>
      </w:pPr>
      <w:bookmarkStart w:id="0" w:name="_GoBack"/>
      <w:bookmarkEnd w:id="0"/>
      <w:r w:rsidRPr="007F613E">
        <w:rPr>
          <w:b/>
          <w:bCs/>
          <w:sz w:val="28"/>
          <w:szCs w:val="28"/>
        </w:rPr>
        <w:t>AIS 2016 Final Conference Report</w:t>
      </w:r>
      <w:r>
        <w:rPr>
          <w:b/>
          <w:bCs/>
          <w:sz w:val="28"/>
          <w:szCs w:val="28"/>
        </w:rPr>
        <w:t xml:space="preserve"> </w:t>
      </w:r>
    </w:p>
    <w:p w14:paraId="44AD5835" w14:textId="77777777" w:rsidR="00280659" w:rsidRDefault="00280659" w:rsidP="007F613E">
      <w:pPr>
        <w:rPr>
          <w:i/>
          <w:iCs/>
          <w:sz w:val="28"/>
          <w:szCs w:val="28"/>
        </w:rPr>
      </w:pPr>
    </w:p>
    <w:p w14:paraId="5561648E" w14:textId="5525D711" w:rsidR="0048315D" w:rsidRPr="007F613E" w:rsidRDefault="0048315D" w:rsidP="007F613E">
      <w:pPr>
        <w:rPr>
          <w:b/>
          <w:bCs/>
          <w:i/>
          <w:iCs/>
          <w:u w:val="single"/>
        </w:rPr>
      </w:pPr>
      <w:r w:rsidRPr="007F613E">
        <w:rPr>
          <w:b/>
          <w:bCs/>
          <w:i/>
          <w:iCs/>
          <w:u w:val="single"/>
        </w:rPr>
        <w:t>Conference 20</w:t>
      </w:r>
      <w:r>
        <w:rPr>
          <w:b/>
          <w:bCs/>
          <w:i/>
          <w:iCs/>
          <w:u w:val="single"/>
        </w:rPr>
        <w:t xml:space="preserve">16 </w:t>
      </w:r>
      <w:r w:rsidRPr="007F613E">
        <w:rPr>
          <w:b/>
          <w:bCs/>
          <w:i/>
          <w:iCs/>
          <w:u w:val="single"/>
        </w:rPr>
        <w:t>Overview</w:t>
      </w:r>
    </w:p>
    <w:p w14:paraId="145B6BD6" w14:textId="522515A0" w:rsidR="0048315D" w:rsidRDefault="0048315D" w:rsidP="007F613E">
      <w:r>
        <w:t>The University of Ottawa in Ottawa, Ontario, Canada, hosted a successful 38</w:t>
      </w:r>
      <w:r w:rsidRPr="004010B9">
        <w:rPr>
          <w:vertAlign w:val="superscript"/>
        </w:rPr>
        <w:t>th</w:t>
      </w:r>
      <w:r>
        <w:t xml:space="preserve"> Annual Conference of the AIS October 27-29, 2016. The venue for all conference activities (plenaries, meetings, keynote speeches, meals, presentations, workshops and panels) was the </w:t>
      </w:r>
      <w:proofErr w:type="spellStart"/>
      <w:r>
        <w:t>Desmarais</w:t>
      </w:r>
      <w:proofErr w:type="spellEnd"/>
      <w:r>
        <w:t xml:space="preserve"> building, located on the University of Ottawa’s main campus in downtown Ottawa.</w:t>
      </w:r>
    </w:p>
    <w:p w14:paraId="1244B8D4" w14:textId="77777777" w:rsidR="0048315D" w:rsidRDefault="0048315D" w:rsidP="007F613E"/>
    <w:p w14:paraId="71734673" w14:textId="16A26427" w:rsidR="0048315D" w:rsidRPr="004C0E7D" w:rsidRDefault="0048315D" w:rsidP="007F613E">
      <w:pPr>
        <w:rPr>
          <w:b/>
          <w:bCs/>
          <w:i/>
          <w:iCs/>
          <w:u w:val="single"/>
        </w:rPr>
      </w:pPr>
      <w:r>
        <w:rPr>
          <w:b/>
          <w:bCs/>
          <w:i/>
          <w:iCs/>
          <w:u w:val="single"/>
        </w:rPr>
        <w:t>Venue</w:t>
      </w:r>
      <w:r w:rsidR="00495A4F">
        <w:rPr>
          <w:b/>
          <w:bCs/>
          <w:i/>
          <w:iCs/>
          <w:u w:val="single"/>
        </w:rPr>
        <w:t xml:space="preserve"> </w:t>
      </w:r>
      <w:r w:rsidR="009B7C23">
        <w:rPr>
          <w:b/>
          <w:bCs/>
          <w:i/>
          <w:iCs/>
          <w:u w:val="single"/>
        </w:rPr>
        <w:t xml:space="preserve">and </w:t>
      </w:r>
      <w:r w:rsidRPr="004C0E7D">
        <w:rPr>
          <w:b/>
          <w:bCs/>
          <w:i/>
          <w:iCs/>
          <w:u w:val="single"/>
        </w:rPr>
        <w:t>Logistics</w:t>
      </w:r>
    </w:p>
    <w:p w14:paraId="6E6294C6" w14:textId="07FA9C0D" w:rsidR="0048315D" w:rsidRDefault="0048315D" w:rsidP="007F613E">
      <w:r>
        <w:t>The conference hotels were the Embassy Hotel and Extended Stay Hotel Canada, located a 5-10 minute walk from the conference venue. Because inexpensive public transit and taxi options were available from the Ottawa International Airport to the venue and hotels, no special shuttles were arranged. There were a number of museums and other attractions nearby (including Canada’s Parliament) and the committee provided tourist information in the delegate packages. However, no special excursions were planned by the conference committee. Dinner circles were arranged for a variety of restaurants along the lively Elgin Street, a block from the conference hotels. We were pleased that we could offer all conference activities in a single building — for the most part on 2 floors.</w:t>
      </w:r>
    </w:p>
    <w:p w14:paraId="56F25874" w14:textId="77777777" w:rsidR="0048315D" w:rsidRDefault="0048315D" w:rsidP="007F613E"/>
    <w:p w14:paraId="2A3842F8" w14:textId="34415F50" w:rsidR="0048315D" w:rsidRPr="004C0E7D" w:rsidRDefault="0048315D" w:rsidP="0050776D">
      <w:pPr>
        <w:rPr>
          <w:b/>
          <w:bCs/>
          <w:i/>
          <w:iCs/>
          <w:u w:val="single"/>
        </w:rPr>
      </w:pPr>
      <w:r>
        <w:rPr>
          <w:b/>
          <w:bCs/>
          <w:i/>
          <w:iCs/>
          <w:u w:val="single"/>
        </w:rPr>
        <w:t xml:space="preserve">Planning Process </w:t>
      </w:r>
    </w:p>
    <w:p w14:paraId="4B6DDBFD" w14:textId="78181F33" w:rsidR="0048315D" w:rsidRPr="00115CFB" w:rsidRDefault="0048315D" w:rsidP="00115CFB">
      <w:r>
        <w:t xml:space="preserve">Planning for the 2016 conference began three years previously, when Angus McMurtry (at that time an AIS board member) in the Faculty of Education sought out partners to host the conference from other faculties within the University of Ottawa. In 2014, he was joined by Co-Chair Karen Phillips, Assistant Director of Undergraduate Studies, Interdisciplinary School of Health Sciences. Later, they were united by conference committee members </w:t>
      </w:r>
      <w:r w:rsidRPr="00115CFB">
        <w:t xml:space="preserve">Eric Crighton, </w:t>
      </w:r>
      <w:r>
        <w:t xml:space="preserve">a </w:t>
      </w:r>
      <w:r w:rsidRPr="00115CFB">
        <w:t xml:space="preserve">Chair </w:t>
      </w:r>
      <w:r>
        <w:t xml:space="preserve">of the </w:t>
      </w:r>
      <w:r w:rsidRPr="00115CFB">
        <w:t>Department of Geography</w:t>
      </w:r>
      <w:r>
        <w:t xml:space="preserve">, Environment and Geomatics in the </w:t>
      </w:r>
      <w:r w:rsidRPr="00115CFB">
        <w:t>Faculty of Arts</w:t>
      </w:r>
      <w:r>
        <w:t>; Chad Hammond, a Postdoctoral fellow in the School of Rehabilitation Sciences; Alejandro Gomez Umana, Coordinator of t</w:t>
      </w:r>
      <w:r w:rsidRPr="00115CFB">
        <w:t>he Centre for Research on Educational and Community Services (CRECS)</w:t>
      </w:r>
      <w:r>
        <w:t>; and finally Kelly Kilgour, a PhD Candidate in the Faculty of Education’s Health Professions Education program. In 2016, Kelly’s responsibilities and role increased dramatically and she was appointed the Conference Coordinator. (Budgeting to have someone working full-time in this capacity, especially for the final six months leading up to a conference is one recommendation we would make to future conferences.) A large number (40) of graduate student volunteers also contributed during the week leading up to the conference and at the conference itself.</w:t>
      </w:r>
    </w:p>
    <w:p w14:paraId="509D6614" w14:textId="77777777" w:rsidR="0048315D" w:rsidRDefault="0048315D" w:rsidP="0050776D"/>
    <w:p w14:paraId="4162000E" w14:textId="2A08664F" w:rsidR="0048315D" w:rsidRDefault="0048315D" w:rsidP="0050776D">
      <w:r>
        <w:t xml:space="preserve">Planning duties were shared among the committee, with first Angus and Karen, and then Kelly acting as the lead coordinator. These duties included securing a venue and conference hotels, publicizing the conference and call, developing a website with both conference information and registration functionality, selecting a theme, contacting potential keynote speakers, reviewing and selecting proposals, and organizing rooms, meals and so forth. The theme of the conference — </w:t>
      </w:r>
      <w:r w:rsidRPr="005A685F">
        <w:rPr>
          <w:i/>
          <w:iCs/>
        </w:rPr>
        <w:t xml:space="preserve">Interdisciplinary Approaches to Health, Wellness and Sustainability </w:t>
      </w:r>
      <w:r>
        <w:t>— was decided collectively by the committee, based on the interests of participating stakeholders</w:t>
      </w:r>
      <w:r w:rsidR="009824B7">
        <w:t>,</w:t>
      </w:r>
      <w:r>
        <w:t xml:space="preserve"> Ottawa</w:t>
      </w:r>
      <w:r w:rsidR="009824B7">
        <w:t>’s</w:t>
      </w:r>
      <w:r>
        <w:t xml:space="preserve"> </w:t>
      </w:r>
      <w:r w:rsidR="009B7C23">
        <w:t>role</w:t>
      </w:r>
      <w:r>
        <w:t xml:space="preserve"> as a healthcare centre</w:t>
      </w:r>
      <w:r w:rsidR="009824B7">
        <w:t>,</w:t>
      </w:r>
      <w:r w:rsidR="009824B7" w:rsidRPr="009824B7">
        <w:t xml:space="preserve"> </w:t>
      </w:r>
      <w:r w:rsidR="009824B7">
        <w:t xml:space="preserve">and the University of Ottawa’s </w:t>
      </w:r>
      <w:r w:rsidR="009B7C23">
        <w:t>strengths as</w:t>
      </w:r>
      <w:r w:rsidR="009824B7">
        <w:t xml:space="preserve"> a healthcare partner and educator</w:t>
      </w:r>
      <w:r>
        <w:t xml:space="preserve">. </w:t>
      </w:r>
    </w:p>
    <w:p w14:paraId="67A8FD6A" w14:textId="77777777" w:rsidR="0048315D" w:rsidRDefault="0048315D" w:rsidP="0050776D"/>
    <w:p w14:paraId="590EADAA" w14:textId="2167AA11" w:rsidR="0048315D" w:rsidRDefault="0048315D" w:rsidP="0050776D">
      <w:r>
        <w:t xml:space="preserve">A limited amount of funding was received from the Faculty of Education ($3000 CDN), the Faculty of Arts ($3000 CDN), and the Interdisciplinary School of Health Sciences ($1250 CDN). The </w:t>
      </w:r>
      <w:r w:rsidRPr="002B2DEE">
        <w:t>Museum of Science and Technology</w:t>
      </w:r>
      <w:r>
        <w:t xml:space="preserve"> provided </w:t>
      </w:r>
      <w:r w:rsidRPr="002B2DEE">
        <w:t>$1500 in-kind support related to</w:t>
      </w:r>
      <w:r>
        <w:t xml:space="preserve"> curator David </w:t>
      </w:r>
      <w:proofErr w:type="spellStart"/>
      <w:r>
        <w:t>Pantalony’s</w:t>
      </w:r>
      <w:proofErr w:type="spellEnd"/>
      <w:r>
        <w:t xml:space="preserve"> </w:t>
      </w:r>
      <w:r w:rsidRPr="002B2DEE">
        <w:t>"Reading Artifacts" workshop</w:t>
      </w:r>
      <w:r>
        <w:t>. And the</w:t>
      </w:r>
      <w:r w:rsidRPr="002B2DEE">
        <w:t xml:space="preserve"> Centre for Research on Educational and Community Services (CRECS)</w:t>
      </w:r>
      <w:r>
        <w:t xml:space="preserve"> contributed </w:t>
      </w:r>
      <w:r w:rsidRPr="002B2DEE">
        <w:t>expertise and resources related to website development, registration, publicity and design.</w:t>
      </w:r>
      <w:r>
        <w:t xml:space="preserve"> Further </w:t>
      </w:r>
      <w:r>
        <w:lastRenderedPageBreak/>
        <w:t>funding opportunities were limited</w:t>
      </w:r>
      <w:r w:rsidR="009824B7">
        <w:t>. The reason is that</w:t>
      </w:r>
      <w:r>
        <w:t xml:space="preserve"> the federal granting council </w:t>
      </w:r>
      <w:r w:rsidR="009824B7">
        <w:t xml:space="preserve">to which </w:t>
      </w:r>
      <w:r>
        <w:t>we would normally turn</w:t>
      </w:r>
      <w:r w:rsidR="003A3A88">
        <w:t>,</w:t>
      </w:r>
      <w:r w:rsidR="009824B7">
        <w:t xml:space="preserve"> </w:t>
      </w:r>
      <w:r w:rsidRPr="00DF3E3B">
        <w:t xml:space="preserve">Social Sciences and Humanities Research Council </w:t>
      </w:r>
      <w:r>
        <w:t>(SSHRC)</w:t>
      </w:r>
      <w:r w:rsidR="009824B7">
        <w:t xml:space="preserve">, </w:t>
      </w:r>
      <w:r>
        <w:t xml:space="preserve">refuses to consider applications dealing in any way with health, instead directing applicants to other research councils </w:t>
      </w:r>
      <w:r w:rsidR="009824B7">
        <w:t xml:space="preserve">– councils </w:t>
      </w:r>
      <w:r>
        <w:t>that are notoriously unfriendly to social science and humanities activities.</w:t>
      </w:r>
    </w:p>
    <w:p w14:paraId="23292AA7" w14:textId="77777777" w:rsidR="0048315D" w:rsidRDefault="0048315D" w:rsidP="0050776D"/>
    <w:p w14:paraId="7D55FE9D" w14:textId="3E5230D7" w:rsidR="0048315D" w:rsidRDefault="0048315D" w:rsidP="0050776D">
      <w:r>
        <w:t>An important international conference planning and registration consideration was taxation on conference registration fees. Canadians commonly pay additional taxes on all goods and services whereas previous AIS conference attendees never paid taxes on their conference registrations. After the committee’s reviews of the Canadian tax policies and discussions with a financial representative, AIS 2016 was deemed an international foreign conference; there</w:t>
      </w:r>
      <w:r w:rsidR="009824B7">
        <w:t>fore</w:t>
      </w:r>
      <w:r>
        <w:t>, it was exempt from common Canadian taxation. We thank the AIS board members for bring</w:t>
      </w:r>
      <w:r w:rsidR="009824B7">
        <w:t>ing</w:t>
      </w:r>
      <w:r>
        <w:t xml:space="preserve"> this tax inconsistency to our attention and their patience while the conference payment website was modified.</w:t>
      </w:r>
    </w:p>
    <w:p w14:paraId="6715C4D8" w14:textId="77777777" w:rsidR="0048315D" w:rsidRDefault="0048315D" w:rsidP="0050776D"/>
    <w:p w14:paraId="492D7D64" w14:textId="5461DAD9" w:rsidR="0048315D" w:rsidRPr="007200AD" w:rsidRDefault="0048315D" w:rsidP="007F613E">
      <w:pPr>
        <w:rPr>
          <w:b/>
          <w:bCs/>
          <w:i/>
          <w:iCs/>
        </w:rPr>
      </w:pPr>
      <w:r w:rsidRPr="007200AD">
        <w:rPr>
          <w:b/>
          <w:bCs/>
          <w:i/>
          <w:iCs/>
          <w:u w:val="single"/>
        </w:rPr>
        <w:t xml:space="preserve">Proposals and </w:t>
      </w:r>
      <w:r>
        <w:rPr>
          <w:b/>
          <w:bCs/>
          <w:i/>
          <w:iCs/>
          <w:u w:val="single"/>
        </w:rPr>
        <w:t>P</w:t>
      </w:r>
      <w:r w:rsidRPr="007200AD">
        <w:rPr>
          <w:b/>
          <w:bCs/>
          <w:i/>
          <w:iCs/>
          <w:u w:val="single"/>
        </w:rPr>
        <w:t>rogramming</w:t>
      </w:r>
    </w:p>
    <w:p w14:paraId="713046E2" w14:textId="77E6859D" w:rsidR="0048315D" w:rsidRDefault="0048315D" w:rsidP="007F613E">
      <w:r>
        <w:t xml:space="preserve">We received a total of </w:t>
      </w:r>
      <w:r w:rsidRPr="00202F11">
        <w:t>13</w:t>
      </w:r>
      <w:r>
        <w:t xml:space="preserve">6 proposals by the extended deadline of May 2. Proposals were </w:t>
      </w:r>
      <w:r w:rsidR="00202F11">
        <w:t>received</w:t>
      </w:r>
      <w:r>
        <w:t xml:space="preserve"> from 10 different countries</w:t>
      </w:r>
      <w:r w:rsidR="00202F11">
        <w:t>:</w:t>
      </w:r>
      <w:r>
        <w:t xml:space="preserve"> Australia, Canada, Denmark, Germany, Ghana, Indonesia, Netherlands, Taiwan, United Kingdom, and, naturally, United States of America. The proposals were evaluated by the conference committee, with holistic input by Dr. Roslyn </w:t>
      </w:r>
      <w:proofErr w:type="spellStart"/>
      <w:r>
        <w:t>Abt</w:t>
      </w:r>
      <w:proofErr w:type="spellEnd"/>
      <w:r>
        <w:t xml:space="preserve"> Schindler and specific input of Dr. Bill Newell of the AIS board, for both quality and adherence to the conference theme and interdisciplinary foci. Of these, 114 were accepted, including 15 presentations conditionally accepted if the presentation mode was modified</w:t>
      </w:r>
      <w:r w:rsidR="00202F11">
        <w:t>. The</w:t>
      </w:r>
      <w:r>
        <w:t xml:space="preserve"> total of </w:t>
      </w:r>
      <w:r w:rsidR="00202F11">
        <w:t xml:space="preserve">presenters was </w:t>
      </w:r>
      <w:r>
        <w:t>256</w:t>
      </w:r>
      <w:r w:rsidR="00202F11">
        <w:t xml:space="preserve"> and some </w:t>
      </w:r>
      <w:r>
        <w:t xml:space="preserve">presentations had up to 6 co-presenters.  The number of presentations in the final program, after several accepted presentations and presenters </w:t>
      </w:r>
      <w:r w:rsidR="00202F11">
        <w:t>declined to attend</w:t>
      </w:r>
      <w:r>
        <w:t xml:space="preserve"> or did not register, was 93 (this figure does not include Keynote Speakers). In total, there were 200 conference attendees including not only paid </w:t>
      </w:r>
      <w:r w:rsidRPr="00B874EA">
        <w:t xml:space="preserve">registrations, </w:t>
      </w:r>
      <w:r>
        <w:t xml:space="preserve">but also </w:t>
      </w:r>
      <w:r w:rsidRPr="00B874EA">
        <w:t xml:space="preserve">volunteers (40), Keynote Speakers (3), </w:t>
      </w:r>
      <w:r>
        <w:t>Conference c</w:t>
      </w:r>
      <w:r w:rsidRPr="00B874EA">
        <w:t>ommittee members (6)</w:t>
      </w:r>
      <w:r>
        <w:t xml:space="preserve">, and </w:t>
      </w:r>
      <w:r w:rsidRPr="00B874EA">
        <w:t>guest</w:t>
      </w:r>
      <w:r>
        <w:t>s (5), such as Bill Newell’s wife</w:t>
      </w:r>
      <w:r w:rsidR="00202F11">
        <w:t>,</w:t>
      </w:r>
      <w:r w:rsidRPr="00B874EA">
        <w:t xml:space="preserve"> </w:t>
      </w:r>
      <w:r>
        <w:t>and welcome plenary speakers.</w:t>
      </w:r>
    </w:p>
    <w:p w14:paraId="641C38F8" w14:textId="77777777" w:rsidR="0048315D" w:rsidRDefault="0048315D" w:rsidP="007F613E"/>
    <w:p w14:paraId="4A20F427" w14:textId="77777777" w:rsidR="001D1F52" w:rsidRDefault="0048315D" w:rsidP="007F613E">
      <w:r>
        <w:t xml:space="preserve">Although keynote, paper, workshop and panel presentations dealt with a wide range of interdisciplinary themes, focal themes this year included </w:t>
      </w:r>
      <w:r w:rsidR="00202F11">
        <w:t xml:space="preserve">health (in a very broad sense) </w:t>
      </w:r>
      <w:r>
        <w:t xml:space="preserve">aging, indigenous research, </w:t>
      </w:r>
      <w:proofErr w:type="spellStart"/>
      <w:r>
        <w:t>interprofessional</w:t>
      </w:r>
      <w:proofErr w:type="spellEnd"/>
      <w:r>
        <w:t xml:space="preserve"> education, innovative interdisciplinary pedagogies, and philosophy. We thoroughly attempted to cluster these themes sequentially on particular days and in specific rooms; for example, Friday, October 28 had a keynote speaker focused on indigenous health geography and there were a number of indigenous-related presentations in the morning and afternoon in the same room.  </w:t>
      </w:r>
    </w:p>
    <w:p w14:paraId="492AF4B6" w14:textId="77777777" w:rsidR="001D1F52" w:rsidRDefault="001D1F52" w:rsidP="007F613E"/>
    <w:p w14:paraId="25A03433" w14:textId="6D4347EB" w:rsidR="0048315D" w:rsidRDefault="0048315D" w:rsidP="007F613E">
      <w:r>
        <w:t>Additionally, presentations focusing on interdisciplinary education were primarily allocated in room 1120</w:t>
      </w:r>
      <w:r w:rsidR="00202F11">
        <w:t>,</w:t>
      </w:r>
      <w:r>
        <w:t xml:space="preserve"> while Arts </w:t>
      </w:r>
      <w:r w:rsidR="00202F11">
        <w:t>&amp;</w:t>
      </w:r>
      <w:r>
        <w:t xml:space="preserve"> Humanities</w:t>
      </w:r>
      <w:r w:rsidR="00202F11">
        <w:t xml:space="preserve"> presentations, on the one hand, and </w:t>
      </w:r>
      <w:r>
        <w:t>Theory, Philosophy and Religion presentations</w:t>
      </w:r>
      <w:r w:rsidR="00202F11">
        <w:t>, on the other,</w:t>
      </w:r>
      <w:r>
        <w:t xml:space="preserve"> alternated within room 1150.  All concurrent sessions were set in 75 minute blocks.</w:t>
      </w:r>
      <w:r w:rsidR="00202F11">
        <w:t xml:space="preserve"> Workshops and panels were allocated the full 75 minutes. Paper presentations were clustered into groups of three. Whenever </w:t>
      </w:r>
      <w:r>
        <w:t xml:space="preserve">a </w:t>
      </w:r>
      <w:r w:rsidR="00202F11">
        <w:t xml:space="preserve">paper </w:t>
      </w:r>
      <w:r>
        <w:t>presentation was cancelled, we were mindful to offer presenters additional time in shared concurrent sessions</w:t>
      </w:r>
      <w:r w:rsidR="00202F11">
        <w:t xml:space="preserve"> for</w:t>
      </w:r>
      <w:r>
        <w:t xml:space="preserve"> their presentations</w:t>
      </w:r>
      <w:r w:rsidR="00202F11">
        <w:t xml:space="preserve">. If two out of the three presentations were cancelled, the </w:t>
      </w:r>
      <w:r>
        <w:t xml:space="preserve">unexpectedly solo paper presentations were allocated to a new sessional time.  </w:t>
      </w:r>
      <w:r w:rsidR="00202F11">
        <w:t>S</w:t>
      </w:r>
      <w:r>
        <w:t>ome presenters</w:t>
      </w:r>
      <w:r w:rsidR="00202F11">
        <w:t xml:space="preserve"> were </w:t>
      </w:r>
      <w:r>
        <w:t>unexpectedly unable to</w:t>
      </w:r>
      <w:r w:rsidR="00202F11">
        <w:t xml:space="preserve"> travel</w:t>
      </w:r>
      <w:r>
        <w:t xml:space="preserve"> </w:t>
      </w:r>
      <w:r w:rsidR="00202F11">
        <w:t>to Ottawa</w:t>
      </w:r>
      <w:r w:rsidR="00202F11" w:rsidDel="00202F11">
        <w:t xml:space="preserve"> </w:t>
      </w:r>
      <w:r w:rsidR="00202F11">
        <w:t xml:space="preserve">and attend the conference </w:t>
      </w:r>
      <w:r w:rsidR="008436C7">
        <w:t xml:space="preserve">in person; </w:t>
      </w:r>
      <w:r>
        <w:t xml:space="preserve">we offered </w:t>
      </w:r>
      <w:r w:rsidR="008436C7">
        <w:t xml:space="preserve">them </w:t>
      </w:r>
      <w:r>
        <w:t>remote Skype presentations to accommodate their circumstances.</w:t>
      </w:r>
    </w:p>
    <w:p w14:paraId="0DFF3EB4" w14:textId="77777777" w:rsidR="0048315D" w:rsidRDefault="0048315D" w:rsidP="007F613E"/>
    <w:p w14:paraId="14153F62" w14:textId="70F6C6EA" w:rsidR="0048315D" w:rsidRDefault="0048315D" w:rsidP="007F613E">
      <w:r>
        <w:t xml:space="preserve">The foci of the keynote speeches were on interdisciplinary approaches to aging, indigenous health research and reading museum artifacts. Effort was made to ensure that speakers linked their discussions to interdisciplinarity in AIS literature. All three speakers were very well received and conference </w:t>
      </w:r>
      <w:r>
        <w:lastRenderedPageBreak/>
        <w:t>attendees appeared to be both engaged and inspired. Concurrent sessions appeared to be well attended, with groups ranging from 10 to 40</w:t>
      </w:r>
      <w:r w:rsidR="001D1F52">
        <w:t xml:space="preserve"> – although several had as few as 3 to 5 people, in spite of our efforts</w:t>
      </w:r>
      <w:r>
        <w:t xml:space="preserve">. </w:t>
      </w:r>
    </w:p>
    <w:p w14:paraId="0E2D4ABA" w14:textId="77777777" w:rsidR="0048315D" w:rsidRDefault="0048315D" w:rsidP="007F613E"/>
    <w:p w14:paraId="7A9876EA" w14:textId="75D113BB" w:rsidR="0048315D" w:rsidRDefault="0048315D" w:rsidP="007F613E">
      <w:r>
        <w:t xml:space="preserve">Of the total of 196 participants, 104 came from the United States, 9 from the Netherlands, 4 from Denmark, 2 from Germany, and 1 each from the United Kingdom and Australia. </w:t>
      </w:r>
      <w:r w:rsidR="001D1F52">
        <w:t xml:space="preserve">Canada provided 75 people, including 27 regular conference attendees, 40 volunteers, 6 committee members and 2 keynote speakers. </w:t>
      </w:r>
      <w:r>
        <w:t xml:space="preserve">29 people participated in the two pre-conference workshops. </w:t>
      </w:r>
      <w:r w:rsidRPr="000326D5">
        <w:t xml:space="preserve">For </w:t>
      </w:r>
      <w:r>
        <w:t>more details on registrants, see the attached document: “</w:t>
      </w:r>
      <w:r w:rsidRPr="00982BCC">
        <w:rPr>
          <w:b/>
          <w:i/>
        </w:rPr>
        <w:t>AIS 2016 Registration Tally Final</w:t>
      </w:r>
      <w:r>
        <w:t>”.</w:t>
      </w:r>
    </w:p>
    <w:p w14:paraId="4616FBCC" w14:textId="77777777" w:rsidR="0048315D" w:rsidRDefault="0048315D" w:rsidP="007F613E"/>
    <w:p w14:paraId="7AC6A6A2" w14:textId="77777777" w:rsidR="0048315D" w:rsidRPr="000326D5" w:rsidRDefault="0048315D" w:rsidP="007F613E">
      <w:pPr>
        <w:rPr>
          <w:b/>
          <w:bCs/>
          <w:i/>
          <w:iCs/>
          <w:u w:val="single"/>
        </w:rPr>
      </w:pPr>
      <w:r w:rsidRPr="000326D5">
        <w:rPr>
          <w:b/>
          <w:bCs/>
          <w:i/>
          <w:iCs/>
          <w:u w:val="single"/>
        </w:rPr>
        <w:t>Conference evaluation</w:t>
      </w:r>
    </w:p>
    <w:p w14:paraId="31F399C7" w14:textId="036D5A2E" w:rsidR="0048315D" w:rsidRDefault="007F5C8A" w:rsidP="000326D5">
      <w:r>
        <w:t>See attached: “</w:t>
      </w:r>
      <w:r w:rsidRPr="00982BCC">
        <w:rPr>
          <w:b/>
          <w:i/>
        </w:rPr>
        <w:t>AIS 2016 Conference Feedback with graphics</w:t>
      </w:r>
      <w:r>
        <w:t>”</w:t>
      </w:r>
    </w:p>
    <w:p w14:paraId="695F23C2" w14:textId="77777777" w:rsidR="0048315D" w:rsidRDefault="0048315D" w:rsidP="000326D5"/>
    <w:p w14:paraId="01EBB9B9" w14:textId="77777777" w:rsidR="0048315D" w:rsidRDefault="0048315D" w:rsidP="000326D5"/>
    <w:p w14:paraId="4B40A56E" w14:textId="77777777" w:rsidR="0048315D" w:rsidRDefault="0048315D" w:rsidP="000326D5"/>
    <w:p w14:paraId="0A1741C9" w14:textId="77777777" w:rsidR="0048315D" w:rsidRDefault="0048315D" w:rsidP="000326D5"/>
    <w:p w14:paraId="394377D0" w14:textId="77777777" w:rsidR="0048315D" w:rsidRDefault="0048315D">
      <w:pPr>
        <w:rPr>
          <w:b/>
          <w:bCs/>
          <w:i/>
          <w:iCs/>
          <w:u w:val="single"/>
        </w:rPr>
      </w:pPr>
      <w:r>
        <w:rPr>
          <w:b/>
          <w:bCs/>
          <w:i/>
          <w:iCs/>
          <w:u w:val="single"/>
        </w:rPr>
        <w:br w:type="page"/>
      </w:r>
    </w:p>
    <w:p w14:paraId="6C583E73" w14:textId="77777777" w:rsidR="0048315D" w:rsidRDefault="0048315D" w:rsidP="000326D5">
      <w:r>
        <w:rPr>
          <w:b/>
          <w:bCs/>
          <w:i/>
          <w:iCs/>
          <w:u w:val="single"/>
        </w:rPr>
        <w:lastRenderedPageBreak/>
        <w:t>Budget</w:t>
      </w:r>
    </w:p>
    <w:p w14:paraId="795BD056" w14:textId="77777777" w:rsidR="0048315D" w:rsidRDefault="0048315D" w:rsidP="000326D5"/>
    <w:p w14:paraId="52547458" w14:textId="13BE5B6A" w:rsidR="0048315D" w:rsidRPr="00FF3A31" w:rsidRDefault="00A326F4" w:rsidP="000326D5">
      <w:pPr>
        <w:rPr>
          <w:b/>
          <w:bCs/>
          <w:u w:val="single"/>
        </w:rPr>
      </w:pPr>
      <w:r>
        <w:rPr>
          <w:b/>
          <w:bCs/>
          <w:u w:val="single"/>
        </w:rPr>
        <w:t>Revenue and grants</w:t>
      </w:r>
      <w:r w:rsidR="0048315D" w:rsidRPr="00FF3A31">
        <w:rPr>
          <w:b/>
          <w:bCs/>
          <w:u w:val="single"/>
        </w:rPr>
        <w:t>:</w:t>
      </w:r>
    </w:p>
    <w:p w14:paraId="02F365EC" w14:textId="77777777" w:rsidR="00BA72A1" w:rsidRPr="00A326F4" w:rsidRDefault="00BA72A1" w:rsidP="002B2DEE">
      <w:pPr>
        <w:rPr>
          <w:b/>
          <w:bCs/>
          <w:sz w:val="18"/>
          <w:szCs w:val="18"/>
          <w:highlight w:val="lightGray"/>
        </w:rPr>
      </w:pPr>
    </w:p>
    <w:p w14:paraId="1E33450C" w14:textId="22FC811B" w:rsidR="009F70CA" w:rsidRPr="00A326F4" w:rsidRDefault="009F70CA" w:rsidP="002B2DEE">
      <w:pPr>
        <w:rPr>
          <w:bCs/>
          <w:sz w:val="18"/>
          <w:szCs w:val="18"/>
        </w:rPr>
      </w:pPr>
      <w:r w:rsidRPr="00A326F4">
        <w:rPr>
          <w:bCs/>
          <w:sz w:val="18"/>
          <w:szCs w:val="18"/>
        </w:rPr>
        <w:t>Total Grants from participating faculties: $7250</w:t>
      </w:r>
    </w:p>
    <w:p w14:paraId="0D002C9D" w14:textId="74F6188B" w:rsidR="0048315D" w:rsidRPr="00A326F4" w:rsidRDefault="0048315D" w:rsidP="002B2DEE">
      <w:pPr>
        <w:rPr>
          <w:sz w:val="18"/>
          <w:szCs w:val="18"/>
        </w:rPr>
      </w:pPr>
      <w:r w:rsidRPr="00A326F4">
        <w:rPr>
          <w:bCs/>
          <w:sz w:val="18"/>
          <w:szCs w:val="18"/>
        </w:rPr>
        <w:t xml:space="preserve">Total </w:t>
      </w:r>
      <w:r w:rsidR="009F70CA" w:rsidRPr="00A326F4">
        <w:rPr>
          <w:bCs/>
          <w:sz w:val="18"/>
          <w:szCs w:val="18"/>
        </w:rPr>
        <w:t xml:space="preserve">conference </w:t>
      </w:r>
      <w:r w:rsidRPr="00A326F4">
        <w:rPr>
          <w:bCs/>
          <w:sz w:val="18"/>
          <w:szCs w:val="18"/>
        </w:rPr>
        <w:t xml:space="preserve">Revenue, as of </w:t>
      </w:r>
      <w:r w:rsidR="009F70CA" w:rsidRPr="00A326F4">
        <w:rPr>
          <w:bCs/>
          <w:sz w:val="18"/>
          <w:szCs w:val="18"/>
        </w:rPr>
        <w:t>end of Oct</w:t>
      </w:r>
      <w:r w:rsidRPr="00A326F4">
        <w:rPr>
          <w:bCs/>
          <w:sz w:val="18"/>
          <w:szCs w:val="18"/>
        </w:rPr>
        <w:t>: $52,706</w:t>
      </w:r>
      <w:r w:rsidRPr="00A326F4">
        <w:rPr>
          <w:sz w:val="18"/>
          <w:szCs w:val="18"/>
        </w:rPr>
        <w:t xml:space="preserve"> </w:t>
      </w:r>
    </w:p>
    <w:p w14:paraId="6FE9215B" w14:textId="71444CB2" w:rsidR="00A326F4" w:rsidRPr="00A326F4" w:rsidRDefault="00A326F4" w:rsidP="002B2DEE">
      <w:pPr>
        <w:rPr>
          <w:b/>
          <w:sz w:val="18"/>
          <w:szCs w:val="18"/>
        </w:rPr>
      </w:pPr>
      <w:r w:rsidRPr="00A326F4">
        <w:rPr>
          <w:b/>
          <w:sz w:val="18"/>
          <w:szCs w:val="18"/>
        </w:rPr>
        <w:t>= $ 59,956</w:t>
      </w:r>
      <w:r w:rsidRPr="00A326F4">
        <w:rPr>
          <w:sz w:val="18"/>
          <w:szCs w:val="18"/>
        </w:rPr>
        <w:t xml:space="preserve"> [CDN]</w:t>
      </w:r>
    </w:p>
    <w:p w14:paraId="6F3A87CA" w14:textId="455D416C" w:rsidR="0048315D" w:rsidRPr="00A326F4" w:rsidRDefault="0048315D" w:rsidP="002B2DEE">
      <w:pPr>
        <w:rPr>
          <w:sz w:val="18"/>
          <w:szCs w:val="18"/>
        </w:rPr>
      </w:pPr>
    </w:p>
    <w:p w14:paraId="75C253C9" w14:textId="252E3CFE" w:rsidR="00595EB0" w:rsidRPr="00A326F4" w:rsidRDefault="00595EB0" w:rsidP="002B2DEE">
      <w:pPr>
        <w:rPr>
          <w:sz w:val="18"/>
          <w:szCs w:val="18"/>
        </w:rPr>
      </w:pPr>
      <w:r w:rsidRPr="00A326F4">
        <w:rPr>
          <w:sz w:val="18"/>
          <w:szCs w:val="18"/>
        </w:rPr>
        <w:t>Note</w:t>
      </w:r>
      <w:r w:rsidR="00A326F4" w:rsidRPr="00A326F4">
        <w:rPr>
          <w:sz w:val="18"/>
          <w:szCs w:val="18"/>
        </w:rPr>
        <w:t>:</w:t>
      </w:r>
      <w:r w:rsidRPr="00A326F4">
        <w:rPr>
          <w:sz w:val="18"/>
          <w:szCs w:val="18"/>
        </w:rPr>
        <w:t xml:space="preserve"> Canadian currency</w:t>
      </w:r>
    </w:p>
    <w:p w14:paraId="1F778253" w14:textId="66696E88" w:rsidR="009F70CA" w:rsidRPr="00A326F4" w:rsidRDefault="009F70CA" w:rsidP="002B2DEE">
      <w:pPr>
        <w:rPr>
          <w:sz w:val="18"/>
          <w:szCs w:val="18"/>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278"/>
      </w:tblGrid>
      <w:tr w:rsidR="00215596" w:rsidRPr="00913E40" w14:paraId="7E72D579" w14:textId="77777777" w:rsidTr="00197465">
        <w:tc>
          <w:tcPr>
            <w:tcW w:w="6048" w:type="dxa"/>
          </w:tcPr>
          <w:p w14:paraId="69E26B01" w14:textId="091CD1CF" w:rsidR="00215596" w:rsidRPr="00913E40" w:rsidRDefault="00215596" w:rsidP="00197465">
            <w:pPr>
              <w:rPr>
                <w:rFonts w:ascii="Arial" w:hAnsi="Arial" w:cs="Arial"/>
                <w:sz w:val="16"/>
                <w:szCs w:val="16"/>
              </w:rPr>
            </w:pPr>
            <w:r w:rsidRPr="00913E40">
              <w:rPr>
                <w:rFonts w:ascii="Arial" w:hAnsi="Arial" w:cs="Arial"/>
                <w:sz w:val="16"/>
                <w:szCs w:val="16"/>
              </w:rPr>
              <w:t xml:space="preserve">Coordinator salary </w:t>
            </w:r>
          </w:p>
        </w:tc>
        <w:tc>
          <w:tcPr>
            <w:tcW w:w="1278" w:type="dxa"/>
          </w:tcPr>
          <w:p w14:paraId="2E2FE50C" w14:textId="77777777" w:rsidR="00215596" w:rsidRPr="00913E40" w:rsidRDefault="00215596" w:rsidP="00197465">
            <w:pPr>
              <w:rPr>
                <w:rFonts w:ascii="Arial" w:hAnsi="Arial" w:cs="Arial"/>
                <w:sz w:val="16"/>
                <w:szCs w:val="16"/>
              </w:rPr>
            </w:pPr>
            <w:r w:rsidRPr="00913E40">
              <w:rPr>
                <w:rFonts w:ascii="Arial" w:hAnsi="Arial" w:cs="Arial"/>
                <w:sz w:val="16"/>
                <w:szCs w:val="16"/>
              </w:rPr>
              <w:t>$12,000</w:t>
            </w:r>
          </w:p>
        </w:tc>
      </w:tr>
      <w:tr w:rsidR="00215596" w:rsidRPr="00913E40" w14:paraId="4DF3F5E9" w14:textId="77777777" w:rsidTr="00197465">
        <w:tc>
          <w:tcPr>
            <w:tcW w:w="6048" w:type="dxa"/>
          </w:tcPr>
          <w:p w14:paraId="0C16387D" w14:textId="661FBCA9" w:rsidR="00215596" w:rsidRPr="00913E40" w:rsidRDefault="00913E40" w:rsidP="00197465">
            <w:pPr>
              <w:rPr>
                <w:rFonts w:ascii="Arial" w:hAnsi="Arial" w:cs="Arial"/>
                <w:sz w:val="16"/>
                <w:szCs w:val="16"/>
              </w:rPr>
            </w:pPr>
            <w:r w:rsidRPr="00913E40">
              <w:rPr>
                <w:rFonts w:ascii="Arial" w:hAnsi="Arial" w:cs="Arial"/>
                <w:sz w:val="16"/>
                <w:szCs w:val="16"/>
              </w:rPr>
              <w:t>CRECS (website design and maintenance including various registration sites, conference feedback, proposal submission, proposal evaluation, as well as support for our conference planning and coordination of conference promotional materials, merchandise and program booklets</w:t>
            </w:r>
          </w:p>
        </w:tc>
        <w:tc>
          <w:tcPr>
            <w:tcW w:w="1278" w:type="dxa"/>
          </w:tcPr>
          <w:p w14:paraId="4B81CF21" w14:textId="09074309" w:rsidR="00215596" w:rsidRPr="00913E40" w:rsidRDefault="00913E40" w:rsidP="00197465">
            <w:pPr>
              <w:rPr>
                <w:rFonts w:ascii="Arial" w:hAnsi="Arial" w:cs="Arial"/>
                <w:sz w:val="16"/>
                <w:szCs w:val="16"/>
              </w:rPr>
            </w:pPr>
            <w:r w:rsidRPr="00913E40">
              <w:rPr>
                <w:rFonts w:ascii="Arial" w:hAnsi="Arial" w:cs="Arial"/>
                <w:sz w:val="16"/>
                <w:szCs w:val="16"/>
              </w:rPr>
              <w:t>$  7</w:t>
            </w:r>
            <w:r w:rsidR="00215596" w:rsidRPr="00913E40">
              <w:rPr>
                <w:rFonts w:ascii="Arial" w:hAnsi="Arial" w:cs="Arial"/>
                <w:sz w:val="16"/>
                <w:szCs w:val="16"/>
              </w:rPr>
              <w:t>,000</w:t>
            </w:r>
          </w:p>
        </w:tc>
      </w:tr>
      <w:tr w:rsidR="00795FF1" w:rsidRPr="00913E40" w14:paraId="03441DF3" w14:textId="77777777" w:rsidTr="002C6605">
        <w:tc>
          <w:tcPr>
            <w:tcW w:w="6048" w:type="dxa"/>
          </w:tcPr>
          <w:p w14:paraId="1F21AA2F" w14:textId="77777777" w:rsidR="00795FF1" w:rsidRPr="00795FF1" w:rsidRDefault="00795FF1" w:rsidP="002C6605">
            <w:pPr>
              <w:rPr>
                <w:rFonts w:ascii="Arial" w:hAnsi="Arial" w:cs="Arial"/>
                <w:sz w:val="16"/>
                <w:szCs w:val="16"/>
              </w:rPr>
            </w:pPr>
            <w:r w:rsidRPr="00795FF1">
              <w:rPr>
                <w:rFonts w:ascii="Arial" w:hAnsi="Arial" w:cs="Arial"/>
                <w:sz w:val="16"/>
                <w:szCs w:val="16"/>
              </w:rPr>
              <w:t>Translation (call, registration, certain abstracts) 610.78 [only one invoice found]</w:t>
            </w:r>
          </w:p>
        </w:tc>
        <w:tc>
          <w:tcPr>
            <w:tcW w:w="1278" w:type="dxa"/>
          </w:tcPr>
          <w:p w14:paraId="698A8CB0" w14:textId="44D373E3" w:rsidR="00795FF1" w:rsidRPr="00795FF1" w:rsidRDefault="00595EB0" w:rsidP="002C6605">
            <w:pPr>
              <w:rPr>
                <w:rFonts w:ascii="Arial" w:hAnsi="Arial" w:cs="Arial"/>
                <w:sz w:val="16"/>
                <w:szCs w:val="16"/>
              </w:rPr>
            </w:pPr>
            <w:r>
              <w:rPr>
                <w:rFonts w:ascii="Arial" w:hAnsi="Arial" w:cs="Arial"/>
                <w:sz w:val="16"/>
                <w:szCs w:val="16"/>
              </w:rPr>
              <w:t xml:space="preserve">$ </w:t>
            </w:r>
            <w:r w:rsidR="00795FF1" w:rsidRPr="00795FF1">
              <w:rPr>
                <w:rFonts w:ascii="Arial" w:hAnsi="Arial" w:cs="Arial"/>
                <w:sz w:val="16"/>
                <w:szCs w:val="16"/>
              </w:rPr>
              <w:t>610.78</w:t>
            </w:r>
          </w:p>
        </w:tc>
      </w:tr>
      <w:tr w:rsidR="007F5C8A" w:rsidRPr="00B45ED0" w14:paraId="5F9D7D65" w14:textId="77777777" w:rsidTr="002C6605">
        <w:tc>
          <w:tcPr>
            <w:tcW w:w="6048" w:type="dxa"/>
          </w:tcPr>
          <w:p w14:paraId="1DB59FC9" w14:textId="3F0BDD63" w:rsidR="007F5C8A" w:rsidRPr="007F5C8A" w:rsidRDefault="007F5C8A" w:rsidP="00795FF1">
            <w:pPr>
              <w:rPr>
                <w:rFonts w:ascii="Arial" w:hAnsi="Arial" w:cs="Arial"/>
                <w:sz w:val="16"/>
                <w:szCs w:val="16"/>
              </w:rPr>
            </w:pPr>
            <w:r w:rsidRPr="007F5C8A">
              <w:rPr>
                <w:rFonts w:ascii="Arial" w:hAnsi="Arial" w:cs="Arial"/>
                <w:sz w:val="16"/>
                <w:szCs w:val="16"/>
              </w:rPr>
              <w:t xml:space="preserve">Conference liaison: pre-conference visit (Travel) from </w:t>
            </w:r>
            <w:r>
              <w:rPr>
                <w:rFonts w:ascii="Arial" w:hAnsi="Arial" w:cs="Arial"/>
                <w:sz w:val="16"/>
                <w:szCs w:val="16"/>
              </w:rPr>
              <w:t>Cincinnati</w:t>
            </w:r>
            <w:r w:rsidR="00795FF1">
              <w:rPr>
                <w:rFonts w:ascii="Arial" w:hAnsi="Arial" w:cs="Arial"/>
                <w:sz w:val="16"/>
                <w:szCs w:val="16"/>
              </w:rPr>
              <w:t xml:space="preserve"> </w:t>
            </w:r>
          </w:p>
        </w:tc>
        <w:tc>
          <w:tcPr>
            <w:tcW w:w="1278" w:type="dxa"/>
          </w:tcPr>
          <w:p w14:paraId="5BBF93FF" w14:textId="005666A6" w:rsidR="001234BF" w:rsidRPr="007F5C8A" w:rsidRDefault="001234BF" w:rsidP="00795FF1">
            <w:pPr>
              <w:rPr>
                <w:rFonts w:ascii="Arial" w:hAnsi="Arial" w:cs="Arial"/>
                <w:sz w:val="16"/>
                <w:szCs w:val="16"/>
              </w:rPr>
            </w:pPr>
            <w:r w:rsidRPr="001234BF">
              <w:rPr>
                <w:rFonts w:ascii="Arial" w:hAnsi="Arial" w:cs="Arial"/>
                <w:sz w:val="16"/>
                <w:szCs w:val="16"/>
              </w:rPr>
              <w:t>$</w:t>
            </w:r>
            <w:r>
              <w:rPr>
                <w:rFonts w:ascii="Arial" w:hAnsi="Arial" w:cs="Arial"/>
                <w:sz w:val="16"/>
                <w:szCs w:val="16"/>
              </w:rPr>
              <w:t xml:space="preserve"> </w:t>
            </w:r>
            <w:r w:rsidRPr="001234BF">
              <w:rPr>
                <w:rFonts w:ascii="Arial" w:hAnsi="Arial" w:cs="Arial"/>
                <w:sz w:val="16"/>
                <w:szCs w:val="16"/>
              </w:rPr>
              <w:t>690.31</w:t>
            </w:r>
          </w:p>
        </w:tc>
      </w:tr>
      <w:tr w:rsidR="007F5C8A" w:rsidRPr="00B45ED0" w14:paraId="62C5E38A" w14:textId="77777777" w:rsidTr="002C6605">
        <w:tc>
          <w:tcPr>
            <w:tcW w:w="6048" w:type="dxa"/>
          </w:tcPr>
          <w:p w14:paraId="171CD11F" w14:textId="6D3B0CBF" w:rsidR="007F5C8A" w:rsidRPr="00B45ED0" w:rsidRDefault="00EF450B" w:rsidP="00EF450B">
            <w:pPr>
              <w:rPr>
                <w:rFonts w:ascii="Arial" w:hAnsi="Arial" w:cs="Arial"/>
                <w:sz w:val="16"/>
                <w:szCs w:val="16"/>
                <w:highlight w:val="lightGray"/>
              </w:rPr>
            </w:pPr>
            <w:r w:rsidRPr="00EF450B">
              <w:rPr>
                <w:rFonts w:ascii="Arial" w:hAnsi="Arial" w:cs="Arial"/>
                <w:sz w:val="16"/>
                <w:szCs w:val="16"/>
              </w:rPr>
              <w:t>Keynote speaker 1</w:t>
            </w:r>
            <w:r w:rsidR="007F5C8A" w:rsidRPr="00EF450B">
              <w:rPr>
                <w:rFonts w:ascii="Arial" w:hAnsi="Arial" w:cs="Arial"/>
                <w:sz w:val="16"/>
                <w:szCs w:val="16"/>
              </w:rPr>
              <w:t>: Travel</w:t>
            </w:r>
            <w:r w:rsidRPr="00EF450B">
              <w:rPr>
                <w:rFonts w:ascii="Arial" w:hAnsi="Arial" w:cs="Arial"/>
                <w:sz w:val="16"/>
                <w:szCs w:val="16"/>
              </w:rPr>
              <w:t xml:space="preserve"> from London ON and </w:t>
            </w:r>
            <w:r>
              <w:rPr>
                <w:rFonts w:ascii="Arial" w:hAnsi="Arial" w:cs="Arial"/>
                <w:sz w:val="16"/>
                <w:szCs w:val="16"/>
              </w:rPr>
              <w:t>hotel accommodation</w:t>
            </w:r>
          </w:p>
        </w:tc>
        <w:tc>
          <w:tcPr>
            <w:tcW w:w="1278" w:type="dxa"/>
          </w:tcPr>
          <w:p w14:paraId="478F6296" w14:textId="7B20F524" w:rsidR="007F5C8A" w:rsidRPr="00B45ED0" w:rsidRDefault="00C92988" w:rsidP="00EF450B">
            <w:pPr>
              <w:rPr>
                <w:rFonts w:ascii="Arial" w:hAnsi="Arial" w:cs="Arial"/>
                <w:sz w:val="16"/>
                <w:szCs w:val="16"/>
                <w:highlight w:val="lightGray"/>
              </w:rPr>
            </w:pPr>
            <w:r>
              <w:rPr>
                <w:rFonts w:ascii="Arial" w:hAnsi="Arial" w:cs="Arial"/>
                <w:sz w:val="16"/>
                <w:szCs w:val="16"/>
              </w:rPr>
              <w:t xml:space="preserve">$ </w:t>
            </w:r>
            <w:r w:rsidRPr="00C92988">
              <w:rPr>
                <w:rFonts w:ascii="Arial" w:hAnsi="Arial" w:cs="Arial"/>
                <w:sz w:val="16"/>
                <w:szCs w:val="16"/>
              </w:rPr>
              <w:t>1009.11</w:t>
            </w:r>
          </w:p>
        </w:tc>
      </w:tr>
      <w:tr w:rsidR="00EF450B" w:rsidRPr="00B45ED0" w14:paraId="7CD82BF1" w14:textId="77777777" w:rsidTr="002C6605">
        <w:tc>
          <w:tcPr>
            <w:tcW w:w="6048" w:type="dxa"/>
          </w:tcPr>
          <w:p w14:paraId="4A83665A" w14:textId="13DF0708" w:rsidR="00EF450B" w:rsidRPr="00C92988" w:rsidRDefault="00EF450B" w:rsidP="00EF450B">
            <w:pPr>
              <w:rPr>
                <w:rFonts w:ascii="Arial" w:hAnsi="Arial" w:cs="Arial"/>
                <w:sz w:val="16"/>
                <w:szCs w:val="16"/>
              </w:rPr>
            </w:pPr>
            <w:r w:rsidRPr="00C92988">
              <w:rPr>
                <w:rFonts w:ascii="Arial" w:hAnsi="Arial" w:cs="Arial"/>
                <w:sz w:val="16"/>
                <w:szCs w:val="16"/>
              </w:rPr>
              <w:t>Keynote speaker 2: Travel from Portland OR and hotel accommodation</w:t>
            </w:r>
          </w:p>
        </w:tc>
        <w:tc>
          <w:tcPr>
            <w:tcW w:w="1278" w:type="dxa"/>
          </w:tcPr>
          <w:p w14:paraId="2DFA77F1" w14:textId="772419BB" w:rsidR="00EF450B" w:rsidRPr="00C92988" w:rsidRDefault="00EF450B" w:rsidP="002C6605">
            <w:pPr>
              <w:rPr>
                <w:rFonts w:ascii="Arial" w:hAnsi="Arial" w:cs="Arial"/>
                <w:sz w:val="16"/>
                <w:szCs w:val="16"/>
              </w:rPr>
            </w:pPr>
            <w:r w:rsidRPr="00C92988">
              <w:rPr>
                <w:rFonts w:ascii="Arial" w:hAnsi="Arial" w:cs="Arial"/>
                <w:sz w:val="16"/>
                <w:szCs w:val="16"/>
              </w:rPr>
              <w:t xml:space="preserve">$ </w:t>
            </w:r>
            <w:r w:rsidR="00C92988" w:rsidRPr="00C92988">
              <w:rPr>
                <w:rFonts w:ascii="Arial" w:hAnsi="Arial" w:cs="Arial"/>
                <w:sz w:val="16"/>
                <w:szCs w:val="16"/>
              </w:rPr>
              <w:t>1588.71</w:t>
            </w:r>
          </w:p>
        </w:tc>
      </w:tr>
      <w:tr w:rsidR="00215596" w:rsidRPr="00913E40" w14:paraId="6B498D9C" w14:textId="77777777" w:rsidTr="00197465">
        <w:tc>
          <w:tcPr>
            <w:tcW w:w="6048" w:type="dxa"/>
          </w:tcPr>
          <w:p w14:paraId="232DCC14" w14:textId="041AEAFA" w:rsidR="00215596" w:rsidRPr="00913E40" w:rsidRDefault="00913E40" w:rsidP="00913E40">
            <w:pPr>
              <w:rPr>
                <w:rFonts w:ascii="Arial" w:hAnsi="Arial" w:cs="Arial"/>
                <w:sz w:val="16"/>
                <w:szCs w:val="16"/>
              </w:rPr>
            </w:pPr>
            <w:r w:rsidRPr="00913E40">
              <w:rPr>
                <w:rFonts w:ascii="Arial" w:hAnsi="Arial" w:cs="Arial"/>
                <w:sz w:val="16"/>
                <w:szCs w:val="16"/>
              </w:rPr>
              <w:t xml:space="preserve">Globe expenses: Artwork, </w:t>
            </w:r>
            <w:proofErr w:type="spellStart"/>
            <w:r w:rsidRPr="00913E40">
              <w:rPr>
                <w:rFonts w:ascii="Arial" w:hAnsi="Arial" w:cs="Arial"/>
                <w:sz w:val="16"/>
                <w:szCs w:val="16"/>
              </w:rPr>
              <w:t>namebadges</w:t>
            </w:r>
            <w:proofErr w:type="spellEnd"/>
            <w:r w:rsidRPr="00913E40">
              <w:rPr>
                <w:rFonts w:ascii="Arial" w:hAnsi="Arial" w:cs="Arial"/>
                <w:sz w:val="16"/>
                <w:szCs w:val="16"/>
              </w:rPr>
              <w:t xml:space="preserve">, tablecloth </w:t>
            </w:r>
          </w:p>
        </w:tc>
        <w:tc>
          <w:tcPr>
            <w:tcW w:w="1278" w:type="dxa"/>
          </w:tcPr>
          <w:p w14:paraId="2EFAEC57" w14:textId="46246E1F" w:rsidR="00215596" w:rsidRPr="00913E40" w:rsidRDefault="00913E40" w:rsidP="00913E40">
            <w:pPr>
              <w:rPr>
                <w:rFonts w:ascii="Arial" w:hAnsi="Arial" w:cs="Arial"/>
                <w:sz w:val="16"/>
                <w:szCs w:val="16"/>
              </w:rPr>
            </w:pPr>
            <w:r>
              <w:rPr>
                <w:rFonts w:ascii="Arial" w:hAnsi="Arial" w:cs="Arial"/>
                <w:sz w:val="16"/>
                <w:szCs w:val="16"/>
              </w:rPr>
              <w:t xml:space="preserve">$ </w:t>
            </w:r>
            <w:r w:rsidRPr="00913E40">
              <w:rPr>
                <w:rFonts w:ascii="Arial" w:hAnsi="Arial" w:cs="Arial"/>
                <w:sz w:val="16"/>
                <w:szCs w:val="16"/>
              </w:rPr>
              <w:t>666.70</w:t>
            </w:r>
          </w:p>
        </w:tc>
      </w:tr>
      <w:tr w:rsidR="00553658" w:rsidRPr="00913E40" w14:paraId="7AC2BF94" w14:textId="77777777" w:rsidTr="00197465">
        <w:tc>
          <w:tcPr>
            <w:tcW w:w="6048" w:type="dxa"/>
          </w:tcPr>
          <w:p w14:paraId="03533868" w14:textId="7EA06250" w:rsidR="00553658" w:rsidRPr="00913E40" w:rsidRDefault="00553658" w:rsidP="00085657">
            <w:pPr>
              <w:rPr>
                <w:rFonts w:ascii="Arial" w:hAnsi="Arial" w:cs="Arial"/>
                <w:sz w:val="16"/>
                <w:szCs w:val="16"/>
              </w:rPr>
            </w:pPr>
            <w:r w:rsidRPr="00553658">
              <w:rPr>
                <w:rFonts w:ascii="Arial" w:hAnsi="Arial" w:cs="Arial"/>
                <w:sz w:val="16"/>
                <w:szCs w:val="16"/>
              </w:rPr>
              <w:t>Globe expenses:</w:t>
            </w:r>
            <w:r>
              <w:rPr>
                <w:rFonts w:ascii="Arial" w:hAnsi="Arial" w:cs="Arial"/>
                <w:sz w:val="16"/>
                <w:szCs w:val="16"/>
              </w:rPr>
              <w:t xml:space="preserve"> Volunteer sh</w:t>
            </w:r>
            <w:r w:rsidR="00085657">
              <w:rPr>
                <w:rFonts w:ascii="Arial" w:hAnsi="Arial" w:cs="Arial"/>
                <w:sz w:val="16"/>
                <w:szCs w:val="16"/>
              </w:rPr>
              <w:t>i</w:t>
            </w:r>
            <w:r>
              <w:rPr>
                <w:rFonts w:ascii="Arial" w:hAnsi="Arial" w:cs="Arial"/>
                <w:sz w:val="16"/>
                <w:szCs w:val="16"/>
              </w:rPr>
              <w:t>rts, convention bags &amp; metal water bottles</w:t>
            </w:r>
          </w:p>
        </w:tc>
        <w:tc>
          <w:tcPr>
            <w:tcW w:w="1278" w:type="dxa"/>
          </w:tcPr>
          <w:p w14:paraId="2AA799C4" w14:textId="34A39DD0" w:rsidR="00553658" w:rsidRDefault="00553658" w:rsidP="00913E40">
            <w:pPr>
              <w:rPr>
                <w:rFonts w:ascii="Arial" w:hAnsi="Arial" w:cs="Arial"/>
                <w:sz w:val="16"/>
                <w:szCs w:val="16"/>
              </w:rPr>
            </w:pPr>
            <w:r>
              <w:rPr>
                <w:rFonts w:ascii="Arial" w:hAnsi="Arial" w:cs="Arial"/>
                <w:sz w:val="16"/>
                <w:szCs w:val="16"/>
              </w:rPr>
              <w:t>$ 2057.48</w:t>
            </w:r>
          </w:p>
        </w:tc>
      </w:tr>
      <w:tr w:rsidR="00215596" w:rsidRPr="00913E40" w14:paraId="2531D8A5" w14:textId="77777777" w:rsidTr="00197465">
        <w:tc>
          <w:tcPr>
            <w:tcW w:w="6048" w:type="dxa"/>
          </w:tcPr>
          <w:p w14:paraId="7FCA88DD" w14:textId="2261AEE2" w:rsidR="00215596" w:rsidRPr="00913E40" w:rsidRDefault="00B909F3" w:rsidP="00B909F3">
            <w:pPr>
              <w:rPr>
                <w:rFonts w:ascii="Arial" w:hAnsi="Arial" w:cs="Arial"/>
                <w:sz w:val="16"/>
                <w:szCs w:val="16"/>
              </w:rPr>
            </w:pPr>
            <w:proofErr w:type="spellStart"/>
            <w:r w:rsidRPr="00913E40">
              <w:rPr>
                <w:rFonts w:ascii="Arial" w:hAnsi="Arial" w:cs="Arial"/>
                <w:sz w:val="16"/>
                <w:szCs w:val="16"/>
              </w:rPr>
              <w:t>Docucentre</w:t>
            </w:r>
            <w:proofErr w:type="spellEnd"/>
            <w:r>
              <w:rPr>
                <w:rFonts w:ascii="Arial" w:hAnsi="Arial" w:cs="Arial"/>
                <w:sz w:val="16"/>
                <w:szCs w:val="16"/>
              </w:rPr>
              <w:t xml:space="preserve"> expenses: </w:t>
            </w:r>
            <w:r w:rsidR="00B228A0">
              <w:rPr>
                <w:rFonts w:ascii="Arial" w:hAnsi="Arial" w:cs="Arial"/>
                <w:sz w:val="16"/>
                <w:szCs w:val="16"/>
              </w:rPr>
              <w:t>Publicity</w:t>
            </w:r>
            <w:r w:rsidR="00913E40" w:rsidRPr="00913E40">
              <w:rPr>
                <w:rFonts w:ascii="Arial" w:hAnsi="Arial" w:cs="Arial"/>
                <w:sz w:val="16"/>
                <w:szCs w:val="16"/>
              </w:rPr>
              <w:t xml:space="preserve"> </w:t>
            </w:r>
            <w:r w:rsidR="00B228A0">
              <w:rPr>
                <w:rFonts w:ascii="Arial" w:hAnsi="Arial" w:cs="Arial"/>
                <w:sz w:val="16"/>
                <w:szCs w:val="16"/>
              </w:rPr>
              <w:t>[</w:t>
            </w:r>
            <w:r w:rsidR="00913E40" w:rsidRPr="00913E40">
              <w:rPr>
                <w:rFonts w:ascii="Arial" w:hAnsi="Arial" w:cs="Arial"/>
                <w:sz w:val="16"/>
                <w:szCs w:val="16"/>
              </w:rPr>
              <w:t>banners, program booklets, name tag strings</w:t>
            </w:r>
            <w:r w:rsidR="00B228A0">
              <w:rPr>
                <w:rFonts w:ascii="Arial" w:hAnsi="Arial" w:cs="Arial"/>
                <w:sz w:val="16"/>
                <w:szCs w:val="16"/>
              </w:rPr>
              <w:t xml:space="preserve">] </w:t>
            </w:r>
          </w:p>
        </w:tc>
        <w:tc>
          <w:tcPr>
            <w:tcW w:w="1278" w:type="dxa"/>
          </w:tcPr>
          <w:p w14:paraId="17F17568" w14:textId="6F22896D" w:rsidR="00215596" w:rsidRPr="00913E40" w:rsidRDefault="00913E40" w:rsidP="00197465">
            <w:pPr>
              <w:rPr>
                <w:rFonts w:ascii="Arial" w:hAnsi="Arial" w:cs="Arial"/>
                <w:sz w:val="16"/>
                <w:szCs w:val="16"/>
              </w:rPr>
            </w:pPr>
            <w:r>
              <w:rPr>
                <w:rFonts w:ascii="Arial" w:hAnsi="Arial" w:cs="Arial"/>
                <w:sz w:val="16"/>
                <w:szCs w:val="16"/>
              </w:rPr>
              <w:t xml:space="preserve">$ </w:t>
            </w:r>
            <w:r w:rsidRPr="00913E40">
              <w:rPr>
                <w:rFonts w:ascii="Arial" w:hAnsi="Arial" w:cs="Arial"/>
                <w:sz w:val="16"/>
                <w:szCs w:val="16"/>
              </w:rPr>
              <w:t>1467.80</w:t>
            </w:r>
          </w:p>
        </w:tc>
      </w:tr>
      <w:tr w:rsidR="00913E40" w:rsidRPr="00913E40" w14:paraId="4636FFB5" w14:textId="77777777" w:rsidTr="00197465">
        <w:tc>
          <w:tcPr>
            <w:tcW w:w="6048" w:type="dxa"/>
          </w:tcPr>
          <w:p w14:paraId="48BF211A" w14:textId="15A37EE4" w:rsidR="00913E40" w:rsidRPr="00913E40" w:rsidRDefault="00D26890" w:rsidP="009F70CA">
            <w:pPr>
              <w:rPr>
                <w:rFonts w:ascii="Arial" w:hAnsi="Arial" w:cs="Arial"/>
                <w:sz w:val="16"/>
                <w:szCs w:val="16"/>
              </w:rPr>
            </w:pPr>
            <w:r>
              <w:rPr>
                <w:rFonts w:ascii="Arial" w:hAnsi="Arial" w:cs="Arial"/>
                <w:sz w:val="16"/>
                <w:szCs w:val="16"/>
              </w:rPr>
              <w:t xml:space="preserve">Transportation </w:t>
            </w:r>
            <w:r w:rsidR="009F70CA">
              <w:rPr>
                <w:rFonts w:ascii="Arial" w:hAnsi="Arial" w:cs="Arial"/>
                <w:sz w:val="16"/>
                <w:szCs w:val="16"/>
              </w:rPr>
              <w:t>&amp;</w:t>
            </w:r>
            <w:r>
              <w:rPr>
                <w:rFonts w:ascii="Arial" w:hAnsi="Arial" w:cs="Arial"/>
                <w:sz w:val="16"/>
                <w:szCs w:val="16"/>
              </w:rPr>
              <w:t xml:space="preserve"> storage of conference equipment </w:t>
            </w:r>
            <w:r w:rsidR="009F70CA">
              <w:rPr>
                <w:rFonts w:ascii="Arial" w:hAnsi="Arial" w:cs="Arial"/>
                <w:sz w:val="16"/>
                <w:szCs w:val="16"/>
              </w:rPr>
              <w:t>&amp;</w:t>
            </w:r>
            <w:r>
              <w:rPr>
                <w:rFonts w:ascii="Arial" w:hAnsi="Arial" w:cs="Arial"/>
                <w:sz w:val="16"/>
                <w:szCs w:val="16"/>
              </w:rPr>
              <w:t xml:space="preserve"> materials [Van rental, parking and gas]</w:t>
            </w:r>
          </w:p>
        </w:tc>
        <w:tc>
          <w:tcPr>
            <w:tcW w:w="1278" w:type="dxa"/>
          </w:tcPr>
          <w:p w14:paraId="6765C4AD" w14:textId="77777777" w:rsidR="00913E40" w:rsidRPr="00913E40" w:rsidRDefault="00913E40" w:rsidP="00197465">
            <w:pPr>
              <w:rPr>
                <w:rFonts w:ascii="Arial" w:hAnsi="Arial" w:cs="Arial"/>
                <w:sz w:val="16"/>
                <w:szCs w:val="16"/>
              </w:rPr>
            </w:pPr>
            <w:r w:rsidRPr="00913E40">
              <w:rPr>
                <w:rFonts w:ascii="Arial" w:hAnsi="Arial" w:cs="Arial"/>
                <w:sz w:val="16"/>
                <w:szCs w:val="16"/>
              </w:rPr>
              <w:t>$ 456.67</w:t>
            </w:r>
          </w:p>
        </w:tc>
      </w:tr>
      <w:tr w:rsidR="00913E40" w:rsidRPr="00B45ED0" w14:paraId="65229E9F" w14:textId="77777777" w:rsidTr="00197465">
        <w:tc>
          <w:tcPr>
            <w:tcW w:w="6048" w:type="dxa"/>
          </w:tcPr>
          <w:p w14:paraId="46FC9AF2" w14:textId="3FC83E70" w:rsidR="00B909F3" w:rsidRPr="00913E40" w:rsidRDefault="00B228A0" w:rsidP="00AF33BC">
            <w:pPr>
              <w:rPr>
                <w:rFonts w:ascii="Arial" w:hAnsi="Arial" w:cs="Arial"/>
                <w:sz w:val="16"/>
                <w:szCs w:val="16"/>
              </w:rPr>
            </w:pPr>
            <w:r>
              <w:rPr>
                <w:rFonts w:ascii="Arial" w:hAnsi="Arial" w:cs="Arial"/>
                <w:sz w:val="16"/>
                <w:szCs w:val="16"/>
              </w:rPr>
              <w:t>Miscellaneous [decoration, gifts for keynotes, extra snacks, committee member expenses</w:t>
            </w:r>
            <w:r w:rsidR="00913E40" w:rsidRPr="00913E40">
              <w:rPr>
                <w:rFonts w:ascii="Arial" w:hAnsi="Arial" w:cs="Arial"/>
                <w:sz w:val="16"/>
                <w:szCs w:val="16"/>
              </w:rPr>
              <w:t xml:space="preserve"> receipts</w:t>
            </w:r>
            <w:r w:rsidR="00000745">
              <w:rPr>
                <w:rFonts w:ascii="Arial" w:hAnsi="Arial" w:cs="Arial"/>
                <w:sz w:val="16"/>
                <w:szCs w:val="16"/>
              </w:rPr>
              <w:t>, food for meetings and volunteers]</w:t>
            </w:r>
            <w:r w:rsidR="007F5C8A">
              <w:rPr>
                <w:rFonts w:ascii="Arial" w:hAnsi="Arial" w:cs="Arial"/>
                <w:sz w:val="16"/>
                <w:szCs w:val="16"/>
              </w:rPr>
              <w:t xml:space="preserve"> </w:t>
            </w:r>
            <w:r w:rsidR="00B909F3">
              <w:rPr>
                <w:rFonts w:ascii="Arial" w:hAnsi="Arial" w:cs="Arial"/>
                <w:sz w:val="16"/>
                <w:szCs w:val="16"/>
              </w:rPr>
              <w:t>Kelly Kilgour [547.61], Karen Phillips [79.20], Chad Hammond</w:t>
            </w:r>
            <w:r w:rsidR="007F5C8A">
              <w:rPr>
                <w:rFonts w:ascii="Arial" w:hAnsi="Arial" w:cs="Arial"/>
                <w:sz w:val="16"/>
                <w:szCs w:val="16"/>
              </w:rPr>
              <w:t xml:space="preserve"> [</w:t>
            </w:r>
            <w:r w:rsidR="00C405D6" w:rsidRPr="00C405D6">
              <w:rPr>
                <w:rFonts w:ascii="Arial" w:hAnsi="Arial" w:cs="Arial"/>
                <w:sz w:val="16"/>
                <w:szCs w:val="16"/>
              </w:rPr>
              <w:t>180.85</w:t>
            </w:r>
            <w:r w:rsidR="007F5C8A">
              <w:rPr>
                <w:rFonts w:ascii="Arial" w:hAnsi="Arial" w:cs="Arial"/>
                <w:sz w:val="16"/>
                <w:szCs w:val="16"/>
              </w:rPr>
              <w:t>]</w:t>
            </w:r>
            <w:r w:rsidR="00000745">
              <w:rPr>
                <w:rFonts w:ascii="Arial" w:hAnsi="Arial" w:cs="Arial"/>
                <w:sz w:val="16"/>
                <w:szCs w:val="16"/>
              </w:rPr>
              <w:t xml:space="preserve"> Angus [410.26]</w:t>
            </w:r>
            <w:r w:rsidR="00B909F3">
              <w:rPr>
                <w:rFonts w:ascii="Arial" w:hAnsi="Arial" w:cs="Arial"/>
                <w:sz w:val="16"/>
                <w:szCs w:val="16"/>
              </w:rPr>
              <w:t xml:space="preserve"> </w:t>
            </w:r>
          </w:p>
        </w:tc>
        <w:tc>
          <w:tcPr>
            <w:tcW w:w="1278" w:type="dxa"/>
          </w:tcPr>
          <w:p w14:paraId="63D107BC" w14:textId="27A754BC" w:rsidR="00000745" w:rsidRPr="00913E40" w:rsidRDefault="00913E40" w:rsidP="00000745">
            <w:pPr>
              <w:rPr>
                <w:rFonts w:ascii="Arial" w:hAnsi="Arial" w:cs="Arial"/>
                <w:sz w:val="16"/>
                <w:szCs w:val="16"/>
              </w:rPr>
            </w:pPr>
            <w:r w:rsidRPr="00913E40">
              <w:rPr>
                <w:rFonts w:ascii="Arial" w:hAnsi="Arial" w:cs="Arial"/>
                <w:sz w:val="16"/>
                <w:szCs w:val="16"/>
              </w:rPr>
              <w:t>$</w:t>
            </w:r>
            <w:r w:rsidRPr="00B909F3">
              <w:rPr>
                <w:rFonts w:ascii="Arial" w:hAnsi="Arial" w:cs="Arial"/>
                <w:sz w:val="16"/>
                <w:szCs w:val="16"/>
              </w:rPr>
              <w:t xml:space="preserve"> </w:t>
            </w:r>
            <w:r w:rsidR="00000745">
              <w:rPr>
                <w:rFonts w:ascii="Arial" w:hAnsi="Arial" w:cs="Arial"/>
                <w:sz w:val="16"/>
                <w:szCs w:val="16"/>
              </w:rPr>
              <w:t>1,217.92</w:t>
            </w:r>
          </w:p>
        </w:tc>
      </w:tr>
      <w:tr w:rsidR="00913E40" w:rsidRPr="00B45ED0" w14:paraId="0A3B1F58" w14:textId="77777777" w:rsidTr="00197465">
        <w:tc>
          <w:tcPr>
            <w:tcW w:w="6048" w:type="dxa"/>
          </w:tcPr>
          <w:p w14:paraId="476C0F1D" w14:textId="330A1988" w:rsidR="00913E40" w:rsidRDefault="00913E40" w:rsidP="00197465">
            <w:pPr>
              <w:rPr>
                <w:rFonts w:ascii="Arial" w:hAnsi="Arial" w:cs="Arial"/>
                <w:sz w:val="16"/>
                <w:szCs w:val="16"/>
              </w:rPr>
            </w:pPr>
            <w:r w:rsidRPr="00913E40">
              <w:rPr>
                <w:rFonts w:ascii="Arial" w:hAnsi="Arial" w:cs="Arial"/>
                <w:sz w:val="16"/>
                <w:szCs w:val="16"/>
              </w:rPr>
              <w:t>AIS for memberships and workshops: $5507 [-709.15 for banner and table covers]</w:t>
            </w:r>
          </w:p>
        </w:tc>
        <w:tc>
          <w:tcPr>
            <w:tcW w:w="1278" w:type="dxa"/>
          </w:tcPr>
          <w:p w14:paraId="178CA8F9" w14:textId="0E458EBD" w:rsidR="00913E40" w:rsidRDefault="003E7F79" w:rsidP="00197465">
            <w:pPr>
              <w:rPr>
                <w:rFonts w:ascii="Arial" w:hAnsi="Arial" w:cs="Arial"/>
                <w:sz w:val="16"/>
                <w:szCs w:val="16"/>
                <w:highlight w:val="lightGray"/>
              </w:rPr>
            </w:pPr>
            <w:r w:rsidRPr="003E7F79">
              <w:rPr>
                <w:rFonts w:ascii="Arial" w:hAnsi="Arial" w:cs="Arial"/>
                <w:sz w:val="16"/>
                <w:szCs w:val="16"/>
              </w:rPr>
              <w:t>$</w:t>
            </w:r>
            <w:r w:rsidR="00666A3F">
              <w:rPr>
                <w:rFonts w:ascii="Arial" w:hAnsi="Arial" w:cs="Arial"/>
                <w:sz w:val="16"/>
                <w:szCs w:val="16"/>
              </w:rPr>
              <w:t xml:space="preserve"> </w:t>
            </w:r>
            <w:r w:rsidRPr="003E7F79">
              <w:rPr>
                <w:rFonts w:ascii="Arial" w:hAnsi="Arial" w:cs="Arial"/>
                <w:sz w:val="16"/>
                <w:szCs w:val="16"/>
              </w:rPr>
              <w:t>4797.85</w:t>
            </w:r>
          </w:p>
        </w:tc>
      </w:tr>
      <w:tr w:rsidR="00913E40" w:rsidRPr="00B45ED0" w14:paraId="69541E81" w14:textId="77777777" w:rsidTr="00197465">
        <w:tc>
          <w:tcPr>
            <w:tcW w:w="6048" w:type="dxa"/>
          </w:tcPr>
          <w:p w14:paraId="4056B516" w14:textId="77777777" w:rsidR="00913E40" w:rsidRPr="00A326F4" w:rsidRDefault="00913E40" w:rsidP="00197465">
            <w:pPr>
              <w:rPr>
                <w:rFonts w:ascii="Arial" w:hAnsi="Arial" w:cs="Arial"/>
                <w:sz w:val="16"/>
                <w:szCs w:val="16"/>
                <w:highlight w:val="lightGray"/>
              </w:rPr>
            </w:pPr>
            <w:r w:rsidRPr="00A326F4">
              <w:rPr>
                <w:rFonts w:ascii="Arial" w:hAnsi="Arial" w:cs="Arial"/>
                <w:sz w:val="16"/>
                <w:szCs w:val="16"/>
              </w:rPr>
              <w:t>Food, Space Rental, Audiovisual and Technical Support</w:t>
            </w:r>
          </w:p>
        </w:tc>
        <w:tc>
          <w:tcPr>
            <w:tcW w:w="1278" w:type="dxa"/>
          </w:tcPr>
          <w:p w14:paraId="596DEE19" w14:textId="0511931E" w:rsidR="00913E40" w:rsidRPr="00A326F4" w:rsidRDefault="00913E40" w:rsidP="00197465">
            <w:pPr>
              <w:rPr>
                <w:rFonts w:ascii="Arial" w:hAnsi="Arial" w:cs="Arial"/>
                <w:sz w:val="16"/>
                <w:szCs w:val="16"/>
                <w:highlight w:val="lightGray"/>
              </w:rPr>
            </w:pPr>
            <w:r w:rsidRPr="00A326F4">
              <w:rPr>
                <w:rFonts w:ascii="Arial" w:hAnsi="Arial" w:cs="Arial"/>
                <w:sz w:val="16"/>
                <w:szCs w:val="16"/>
              </w:rPr>
              <w:t>$</w:t>
            </w:r>
            <w:r w:rsidR="00666A3F" w:rsidRPr="00A326F4">
              <w:rPr>
                <w:rFonts w:ascii="Arial" w:hAnsi="Arial" w:cs="Arial"/>
                <w:sz w:val="16"/>
                <w:szCs w:val="16"/>
              </w:rPr>
              <w:t xml:space="preserve"> </w:t>
            </w:r>
            <w:r w:rsidR="00916886" w:rsidRPr="00A326F4">
              <w:rPr>
                <w:rFonts w:ascii="Arial" w:hAnsi="Arial" w:cs="Arial"/>
                <w:bCs/>
                <w:sz w:val="16"/>
                <w:szCs w:val="16"/>
              </w:rPr>
              <w:t>21,900.37</w:t>
            </w:r>
          </w:p>
        </w:tc>
      </w:tr>
      <w:tr w:rsidR="00666A3F" w:rsidRPr="00B45ED0" w14:paraId="1BB3699C" w14:textId="77777777" w:rsidTr="00197465">
        <w:tc>
          <w:tcPr>
            <w:tcW w:w="6048" w:type="dxa"/>
          </w:tcPr>
          <w:p w14:paraId="0DCFA6A9" w14:textId="4CE74895" w:rsidR="00666A3F" w:rsidRPr="00A326F4" w:rsidRDefault="00666A3F" w:rsidP="00666A3F">
            <w:pPr>
              <w:rPr>
                <w:rFonts w:ascii="Arial" w:hAnsi="Arial" w:cs="Arial"/>
                <w:sz w:val="16"/>
                <w:szCs w:val="16"/>
              </w:rPr>
            </w:pPr>
            <w:r w:rsidRPr="00A326F4">
              <w:rPr>
                <w:rFonts w:ascii="Arial" w:hAnsi="Arial" w:cs="Arial"/>
                <w:sz w:val="16"/>
                <w:szCs w:val="16"/>
              </w:rPr>
              <w:t xml:space="preserve">Dissemination assistance </w:t>
            </w:r>
          </w:p>
        </w:tc>
        <w:tc>
          <w:tcPr>
            <w:tcW w:w="1278" w:type="dxa"/>
          </w:tcPr>
          <w:p w14:paraId="72394FB3" w14:textId="4A4A582D" w:rsidR="00666A3F" w:rsidRPr="00A326F4" w:rsidRDefault="00666A3F" w:rsidP="00A326F4">
            <w:pPr>
              <w:rPr>
                <w:rFonts w:ascii="Arial" w:hAnsi="Arial" w:cs="Arial"/>
                <w:sz w:val="16"/>
                <w:szCs w:val="16"/>
              </w:rPr>
            </w:pPr>
            <w:r w:rsidRPr="00A326F4">
              <w:rPr>
                <w:rFonts w:ascii="Arial" w:hAnsi="Arial" w:cs="Arial"/>
                <w:sz w:val="16"/>
                <w:szCs w:val="16"/>
              </w:rPr>
              <w:t xml:space="preserve">$ </w:t>
            </w:r>
            <w:r w:rsidR="00A326F4" w:rsidRPr="00A326F4">
              <w:rPr>
                <w:rFonts w:ascii="Arial" w:hAnsi="Arial" w:cs="Arial"/>
                <w:sz w:val="16"/>
                <w:szCs w:val="16"/>
              </w:rPr>
              <w:t>2730</w:t>
            </w:r>
          </w:p>
        </w:tc>
      </w:tr>
      <w:tr w:rsidR="00666A3F" w:rsidRPr="00B45ED0" w14:paraId="7B3210AA" w14:textId="77777777" w:rsidTr="008351AB">
        <w:tc>
          <w:tcPr>
            <w:tcW w:w="6048" w:type="dxa"/>
            <w:vAlign w:val="bottom"/>
          </w:tcPr>
          <w:p w14:paraId="40EC2F90" w14:textId="379A1E43" w:rsidR="00666A3F" w:rsidRPr="00A326F4" w:rsidRDefault="00A326F4" w:rsidP="00666A3F">
            <w:pPr>
              <w:rPr>
                <w:rFonts w:ascii="Arial" w:hAnsi="Arial" w:cs="Arial"/>
                <w:b/>
                <w:sz w:val="16"/>
                <w:szCs w:val="16"/>
              </w:rPr>
            </w:pPr>
            <w:r w:rsidRPr="00A326F4">
              <w:rPr>
                <w:b/>
                <w:color w:val="000000"/>
              </w:rPr>
              <w:t>Total</w:t>
            </w:r>
            <w:r>
              <w:rPr>
                <w:b/>
                <w:color w:val="000000"/>
              </w:rPr>
              <w:t xml:space="preserve"> </w:t>
            </w:r>
            <w:r w:rsidRPr="00A326F4">
              <w:rPr>
                <w:color w:val="000000"/>
              </w:rPr>
              <w:t>[CDN]</w:t>
            </w:r>
          </w:p>
        </w:tc>
        <w:tc>
          <w:tcPr>
            <w:tcW w:w="1278" w:type="dxa"/>
            <w:vAlign w:val="bottom"/>
          </w:tcPr>
          <w:p w14:paraId="3FE97B75" w14:textId="096F01A6" w:rsidR="00666A3F" w:rsidRPr="00A326F4" w:rsidRDefault="00A326F4" w:rsidP="001234BF">
            <w:pPr>
              <w:rPr>
                <w:rFonts w:cs="Times New Roman"/>
                <w:b/>
                <w:color w:val="000000"/>
                <w:lang w:eastAsia="en-CA"/>
              </w:rPr>
            </w:pPr>
            <w:r w:rsidRPr="00A326F4">
              <w:rPr>
                <w:b/>
                <w:color w:val="000000"/>
              </w:rPr>
              <w:t>$</w:t>
            </w:r>
            <w:r w:rsidR="00CC7487" w:rsidRPr="00CC7487">
              <w:rPr>
                <w:b/>
                <w:color w:val="000000"/>
              </w:rPr>
              <w:t>58</w:t>
            </w:r>
            <w:r w:rsidR="00CC7487">
              <w:rPr>
                <w:b/>
                <w:color w:val="000000"/>
              </w:rPr>
              <w:t>,</w:t>
            </w:r>
            <w:r w:rsidR="00CC7487" w:rsidRPr="00CC7487">
              <w:rPr>
                <w:b/>
                <w:color w:val="000000"/>
              </w:rPr>
              <w:t>193.7</w:t>
            </w:r>
          </w:p>
        </w:tc>
      </w:tr>
      <w:tr w:rsidR="00913E40" w:rsidRPr="00B45ED0" w14:paraId="769298BD" w14:textId="77777777" w:rsidTr="00197465">
        <w:tc>
          <w:tcPr>
            <w:tcW w:w="6048" w:type="dxa"/>
          </w:tcPr>
          <w:p w14:paraId="376C4FD2" w14:textId="77777777" w:rsidR="00913E40" w:rsidRPr="00B45ED0" w:rsidRDefault="00913E40" w:rsidP="00197465">
            <w:pPr>
              <w:rPr>
                <w:rFonts w:ascii="Arial" w:hAnsi="Arial" w:cs="Arial"/>
                <w:sz w:val="16"/>
                <w:szCs w:val="16"/>
                <w:highlight w:val="lightGray"/>
              </w:rPr>
            </w:pPr>
          </w:p>
        </w:tc>
        <w:tc>
          <w:tcPr>
            <w:tcW w:w="1278" w:type="dxa"/>
          </w:tcPr>
          <w:p w14:paraId="513EF039" w14:textId="77777777" w:rsidR="00913E40" w:rsidRPr="00B45ED0" w:rsidRDefault="00913E40" w:rsidP="00197465">
            <w:pPr>
              <w:rPr>
                <w:rFonts w:ascii="Arial" w:hAnsi="Arial" w:cs="Arial"/>
                <w:b/>
                <w:bCs/>
                <w:sz w:val="16"/>
                <w:szCs w:val="16"/>
                <w:highlight w:val="lightGray"/>
              </w:rPr>
            </w:pPr>
          </w:p>
        </w:tc>
      </w:tr>
      <w:tr w:rsidR="00913E40" w:rsidRPr="00B45ED0" w14:paraId="0F8CC0AB" w14:textId="77777777" w:rsidTr="00197465">
        <w:tc>
          <w:tcPr>
            <w:tcW w:w="6048" w:type="dxa"/>
          </w:tcPr>
          <w:p w14:paraId="67608F5C" w14:textId="7BE2D54E" w:rsidR="00913E40" w:rsidRPr="004B064E" w:rsidRDefault="004B064E" w:rsidP="00197465">
            <w:pPr>
              <w:rPr>
                <w:rFonts w:ascii="Arial" w:hAnsi="Arial" w:cs="Arial"/>
                <w:b/>
                <w:sz w:val="20"/>
                <w:szCs w:val="20"/>
              </w:rPr>
            </w:pPr>
            <w:r w:rsidRPr="004B064E">
              <w:rPr>
                <w:rFonts w:ascii="Arial" w:hAnsi="Arial" w:cs="Arial"/>
                <w:b/>
                <w:sz w:val="20"/>
                <w:szCs w:val="20"/>
              </w:rPr>
              <w:t>Overage</w:t>
            </w:r>
            <w:r w:rsidR="004171EB">
              <w:rPr>
                <w:rFonts w:ascii="Arial" w:hAnsi="Arial" w:cs="Arial"/>
                <w:b/>
                <w:sz w:val="20"/>
                <w:szCs w:val="20"/>
              </w:rPr>
              <w:t xml:space="preserve"> </w:t>
            </w:r>
            <w:r w:rsidR="004171EB" w:rsidRPr="00A326F4">
              <w:rPr>
                <w:color w:val="000000"/>
              </w:rPr>
              <w:t>[CDN]</w:t>
            </w:r>
          </w:p>
        </w:tc>
        <w:tc>
          <w:tcPr>
            <w:tcW w:w="1278" w:type="dxa"/>
          </w:tcPr>
          <w:p w14:paraId="7E68A4F1" w14:textId="2F83DE60" w:rsidR="00913E40" w:rsidRPr="004B064E" w:rsidRDefault="002650FD" w:rsidP="004171EB">
            <w:pPr>
              <w:rPr>
                <w:rFonts w:ascii="Arial" w:hAnsi="Arial" w:cs="Arial"/>
                <w:sz w:val="16"/>
                <w:szCs w:val="16"/>
              </w:rPr>
            </w:pPr>
            <w:r>
              <w:rPr>
                <w:rFonts w:ascii="Arial" w:hAnsi="Arial" w:cs="Arial"/>
                <w:sz w:val="16"/>
                <w:szCs w:val="16"/>
              </w:rPr>
              <w:t xml:space="preserve">$ </w:t>
            </w:r>
            <w:r w:rsidR="00CC7487" w:rsidRPr="00CC7487">
              <w:rPr>
                <w:rFonts w:ascii="Arial" w:hAnsi="Arial" w:cs="Arial"/>
                <w:sz w:val="16"/>
                <w:szCs w:val="16"/>
              </w:rPr>
              <w:t>1762.3</w:t>
            </w:r>
          </w:p>
        </w:tc>
      </w:tr>
      <w:tr w:rsidR="00913E40" w:rsidRPr="00B45ED0" w14:paraId="09BDA881" w14:textId="77777777" w:rsidTr="00197465">
        <w:tc>
          <w:tcPr>
            <w:tcW w:w="6048" w:type="dxa"/>
          </w:tcPr>
          <w:p w14:paraId="25C81133" w14:textId="4131B3B2" w:rsidR="00913E40" w:rsidRPr="00B45ED0" w:rsidRDefault="00913E40" w:rsidP="00197465">
            <w:pPr>
              <w:rPr>
                <w:rFonts w:ascii="Arial" w:hAnsi="Arial" w:cs="Arial"/>
                <w:sz w:val="16"/>
                <w:szCs w:val="16"/>
                <w:highlight w:val="lightGray"/>
              </w:rPr>
            </w:pPr>
          </w:p>
        </w:tc>
        <w:tc>
          <w:tcPr>
            <w:tcW w:w="1278" w:type="dxa"/>
          </w:tcPr>
          <w:p w14:paraId="0748AA65" w14:textId="78BE8CEF" w:rsidR="00913E40" w:rsidRPr="00B45ED0" w:rsidRDefault="00913E40" w:rsidP="00197465">
            <w:pPr>
              <w:rPr>
                <w:rFonts w:ascii="Arial" w:hAnsi="Arial" w:cs="Arial"/>
                <w:sz w:val="16"/>
                <w:szCs w:val="16"/>
                <w:highlight w:val="lightGray"/>
              </w:rPr>
            </w:pPr>
          </w:p>
        </w:tc>
      </w:tr>
    </w:tbl>
    <w:p w14:paraId="34422DC3" w14:textId="4498DCE0" w:rsidR="003E7F79" w:rsidRDefault="003E7F79" w:rsidP="000326D5"/>
    <w:p w14:paraId="69B735D5" w14:textId="3F3364D0" w:rsidR="0048315D" w:rsidRDefault="0048315D"/>
    <w:sectPr w:rsidR="0048315D" w:rsidSect="00BB6E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59F"/>
    <w:multiLevelType w:val="hybridMultilevel"/>
    <w:tmpl w:val="3156247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nsid w:val="386F3143"/>
    <w:multiLevelType w:val="hybridMultilevel"/>
    <w:tmpl w:val="3E141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oNotDisplayPageBoundaries/>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EA6F244-AD10-435D-B7B1-FC523BF08E1F}"/>
    <w:docVar w:name="dgnword-eventsink" w:val="215272416"/>
  </w:docVars>
  <w:rsids>
    <w:rsidRoot w:val="007F613E"/>
    <w:rsid w:val="00000745"/>
    <w:rsid w:val="000326D5"/>
    <w:rsid w:val="00047067"/>
    <w:rsid w:val="00085657"/>
    <w:rsid w:val="000977D4"/>
    <w:rsid w:val="000979C1"/>
    <w:rsid w:val="00103486"/>
    <w:rsid w:val="001156A7"/>
    <w:rsid w:val="00115CFB"/>
    <w:rsid w:val="001234BF"/>
    <w:rsid w:val="001665E4"/>
    <w:rsid w:val="00171E45"/>
    <w:rsid w:val="001B2617"/>
    <w:rsid w:val="001C52DD"/>
    <w:rsid w:val="001D1F52"/>
    <w:rsid w:val="00202F11"/>
    <w:rsid w:val="00215596"/>
    <w:rsid w:val="0023692A"/>
    <w:rsid w:val="002434C6"/>
    <w:rsid w:val="002650FD"/>
    <w:rsid w:val="00275240"/>
    <w:rsid w:val="00280659"/>
    <w:rsid w:val="00281947"/>
    <w:rsid w:val="00297987"/>
    <w:rsid w:val="002A4712"/>
    <w:rsid w:val="002A56BA"/>
    <w:rsid w:val="002B2DEE"/>
    <w:rsid w:val="00372FE0"/>
    <w:rsid w:val="00377AFE"/>
    <w:rsid w:val="003854DB"/>
    <w:rsid w:val="00392B2D"/>
    <w:rsid w:val="003A3A88"/>
    <w:rsid w:val="003A464D"/>
    <w:rsid w:val="003E5381"/>
    <w:rsid w:val="003E7F79"/>
    <w:rsid w:val="004010B9"/>
    <w:rsid w:val="004171EB"/>
    <w:rsid w:val="00422D57"/>
    <w:rsid w:val="00475642"/>
    <w:rsid w:val="0048315D"/>
    <w:rsid w:val="00495A4F"/>
    <w:rsid w:val="004B0445"/>
    <w:rsid w:val="004B064E"/>
    <w:rsid w:val="004C0E7D"/>
    <w:rsid w:val="004E4367"/>
    <w:rsid w:val="00502FC4"/>
    <w:rsid w:val="0050776D"/>
    <w:rsid w:val="00553658"/>
    <w:rsid w:val="00595EB0"/>
    <w:rsid w:val="005A685F"/>
    <w:rsid w:val="005B3767"/>
    <w:rsid w:val="005F3416"/>
    <w:rsid w:val="00611BDC"/>
    <w:rsid w:val="00666A3F"/>
    <w:rsid w:val="006A1A55"/>
    <w:rsid w:val="006A518C"/>
    <w:rsid w:val="006C2503"/>
    <w:rsid w:val="006E5C1F"/>
    <w:rsid w:val="006E5F24"/>
    <w:rsid w:val="007200AD"/>
    <w:rsid w:val="0076304B"/>
    <w:rsid w:val="00773919"/>
    <w:rsid w:val="007907CB"/>
    <w:rsid w:val="00795FF1"/>
    <w:rsid w:val="007E0302"/>
    <w:rsid w:val="007F5C8A"/>
    <w:rsid w:val="007F613E"/>
    <w:rsid w:val="0084225C"/>
    <w:rsid w:val="00842F72"/>
    <w:rsid w:val="008436C7"/>
    <w:rsid w:val="008E73D2"/>
    <w:rsid w:val="00911D8A"/>
    <w:rsid w:val="00913E40"/>
    <w:rsid w:val="00916886"/>
    <w:rsid w:val="00977EC8"/>
    <w:rsid w:val="009824B7"/>
    <w:rsid w:val="00982BCC"/>
    <w:rsid w:val="009861D4"/>
    <w:rsid w:val="009965E2"/>
    <w:rsid w:val="009B64EE"/>
    <w:rsid w:val="009B7C23"/>
    <w:rsid w:val="009C00FF"/>
    <w:rsid w:val="009C650C"/>
    <w:rsid w:val="009E32C1"/>
    <w:rsid w:val="009F1993"/>
    <w:rsid w:val="009F70CA"/>
    <w:rsid w:val="00A326F4"/>
    <w:rsid w:val="00A3334B"/>
    <w:rsid w:val="00A4056A"/>
    <w:rsid w:val="00A513DC"/>
    <w:rsid w:val="00A70C2A"/>
    <w:rsid w:val="00A77337"/>
    <w:rsid w:val="00A85240"/>
    <w:rsid w:val="00A862D9"/>
    <w:rsid w:val="00A94D34"/>
    <w:rsid w:val="00AF2971"/>
    <w:rsid w:val="00AF33BC"/>
    <w:rsid w:val="00B0731A"/>
    <w:rsid w:val="00B228A0"/>
    <w:rsid w:val="00B45ED0"/>
    <w:rsid w:val="00B874EA"/>
    <w:rsid w:val="00B909F3"/>
    <w:rsid w:val="00BA4CA0"/>
    <w:rsid w:val="00BA72A1"/>
    <w:rsid w:val="00BB6E99"/>
    <w:rsid w:val="00BB7D36"/>
    <w:rsid w:val="00C405D6"/>
    <w:rsid w:val="00C54700"/>
    <w:rsid w:val="00C92988"/>
    <w:rsid w:val="00CC7487"/>
    <w:rsid w:val="00CD2A75"/>
    <w:rsid w:val="00CD72F8"/>
    <w:rsid w:val="00CF69A8"/>
    <w:rsid w:val="00D04C54"/>
    <w:rsid w:val="00D26890"/>
    <w:rsid w:val="00D605C6"/>
    <w:rsid w:val="00D751F2"/>
    <w:rsid w:val="00DD1C85"/>
    <w:rsid w:val="00DD528A"/>
    <w:rsid w:val="00DF2AEE"/>
    <w:rsid w:val="00DF3E3B"/>
    <w:rsid w:val="00DF3FC3"/>
    <w:rsid w:val="00E62204"/>
    <w:rsid w:val="00E62647"/>
    <w:rsid w:val="00E67817"/>
    <w:rsid w:val="00EF099F"/>
    <w:rsid w:val="00EF450B"/>
    <w:rsid w:val="00F341FC"/>
    <w:rsid w:val="00F40C6A"/>
    <w:rsid w:val="00F648E7"/>
    <w:rsid w:val="00F72B62"/>
    <w:rsid w:val="00FD1B00"/>
    <w:rsid w:val="00FF3269"/>
    <w:rsid w:val="00FF3A31"/>
    <w:rsid w:val="00FF5E3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F3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99"/>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4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A56BA"/>
    <w:pPr>
      <w:ind w:left="720"/>
      <w:contextualSpacing/>
    </w:pPr>
  </w:style>
  <w:style w:type="paragraph" w:styleId="BalloonText">
    <w:name w:val="Balloon Text"/>
    <w:basedOn w:val="Normal"/>
    <w:link w:val="BalloonTextChar"/>
    <w:uiPriority w:val="99"/>
    <w:semiHidden/>
    <w:rsid w:val="009E32C1"/>
    <w:rPr>
      <w:rFonts w:ascii="Tahoma" w:hAnsi="Tahoma" w:cs="Tahoma"/>
      <w:sz w:val="16"/>
      <w:szCs w:val="16"/>
    </w:rPr>
  </w:style>
  <w:style w:type="character" w:customStyle="1" w:styleId="BalloonTextChar">
    <w:name w:val="Balloon Text Char"/>
    <w:basedOn w:val="DefaultParagraphFont"/>
    <w:link w:val="BalloonText"/>
    <w:uiPriority w:val="99"/>
    <w:semiHidden/>
    <w:rsid w:val="0051615E"/>
    <w:rPr>
      <w:rFonts w:ascii="Times New Roman" w:hAnsi="Times New Roman"/>
      <w:sz w:val="0"/>
      <w:szCs w:val="0"/>
      <w:lang w:eastAsia="en-US"/>
    </w:rPr>
  </w:style>
  <w:style w:type="character" w:styleId="CommentReference">
    <w:name w:val="annotation reference"/>
    <w:basedOn w:val="DefaultParagraphFont"/>
    <w:uiPriority w:val="99"/>
    <w:semiHidden/>
    <w:rsid w:val="00CD2A75"/>
    <w:rPr>
      <w:sz w:val="16"/>
      <w:szCs w:val="16"/>
    </w:rPr>
  </w:style>
  <w:style w:type="paragraph" w:styleId="CommentText">
    <w:name w:val="annotation text"/>
    <w:basedOn w:val="Normal"/>
    <w:link w:val="CommentTextChar"/>
    <w:uiPriority w:val="99"/>
    <w:semiHidden/>
    <w:rsid w:val="00CD2A75"/>
    <w:rPr>
      <w:sz w:val="20"/>
      <w:szCs w:val="20"/>
    </w:rPr>
  </w:style>
  <w:style w:type="character" w:customStyle="1" w:styleId="CommentTextChar">
    <w:name w:val="Comment Text Char"/>
    <w:basedOn w:val="DefaultParagraphFont"/>
    <w:link w:val="CommentText"/>
    <w:uiPriority w:val="99"/>
    <w:semiHidden/>
    <w:rsid w:val="0051615E"/>
    <w:rPr>
      <w:rFonts w:cs="Calibri"/>
      <w:sz w:val="20"/>
      <w:szCs w:val="20"/>
      <w:lang w:eastAsia="en-US"/>
    </w:rPr>
  </w:style>
  <w:style w:type="paragraph" w:styleId="CommentSubject">
    <w:name w:val="annotation subject"/>
    <w:basedOn w:val="CommentText"/>
    <w:next w:val="CommentText"/>
    <w:link w:val="CommentSubjectChar"/>
    <w:uiPriority w:val="99"/>
    <w:semiHidden/>
    <w:rsid w:val="00CD2A75"/>
    <w:rPr>
      <w:b/>
      <w:bCs/>
    </w:rPr>
  </w:style>
  <w:style w:type="character" w:customStyle="1" w:styleId="CommentSubjectChar">
    <w:name w:val="Comment Subject Char"/>
    <w:basedOn w:val="CommentTextChar"/>
    <w:link w:val="CommentSubject"/>
    <w:uiPriority w:val="99"/>
    <w:semiHidden/>
    <w:rsid w:val="0051615E"/>
    <w:rPr>
      <w:rFonts w:cs="Calibri"/>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99"/>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4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A56BA"/>
    <w:pPr>
      <w:ind w:left="720"/>
      <w:contextualSpacing/>
    </w:pPr>
  </w:style>
  <w:style w:type="paragraph" w:styleId="BalloonText">
    <w:name w:val="Balloon Text"/>
    <w:basedOn w:val="Normal"/>
    <w:link w:val="BalloonTextChar"/>
    <w:uiPriority w:val="99"/>
    <w:semiHidden/>
    <w:rsid w:val="009E32C1"/>
    <w:rPr>
      <w:rFonts w:ascii="Tahoma" w:hAnsi="Tahoma" w:cs="Tahoma"/>
      <w:sz w:val="16"/>
      <w:szCs w:val="16"/>
    </w:rPr>
  </w:style>
  <w:style w:type="character" w:customStyle="1" w:styleId="BalloonTextChar">
    <w:name w:val="Balloon Text Char"/>
    <w:basedOn w:val="DefaultParagraphFont"/>
    <w:link w:val="BalloonText"/>
    <w:uiPriority w:val="99"/>
    <w:semiHidden/>
    <w:rsid w:val="0051615E"/>
    <w:rPr>
      <w:rFonts w:ascii="Times New Roman" w:hAnsi="Times New Roman"/>
      <w:sz w:val="0"/>
      <w:szCs w:val="0"/>
      <w:lang w:eastAsia="en-US"/>
    </w:rPr>
  </w:style>
  <w:style w:type="character" w:styleId="CommentReference">
    <w:name w:val="annotation reference"/>
    <w:basedOn w:val="DefaultParagraphFont"/>
    <w:uiPriority w:val="99"/>
    <w:semiHidden/>
    <w:rsid w:val="00CD2A75"/>
    <w:rPr>
      <w:sz w:val="16"/>
      <w:szCs w:val="16"/>
    </w:rPr>
  </w:style>
  <w:style w:type="paragraph" w:styleId="CommentText">
    <w:name w:val="annotation text"/>
    <w:basedOn w:val="Normal"/>
    <w:link w:val="CommentTextChar"/>
    <w:uiPriority w:val="99"/>
    <w:semiHidden/>
    <w:rsid w:val="00CD2A75"/>
    <w:rPr>
      <w:sz w:val="20"/>
      <w:szCs w:val="20"/>
    </w:rPr>
  </w:style>
  <w:style w:type="character" w:customStyle="1" w:styleId="CommentTextChar">
    <w:name w:val="Comment Text Char"/>
    <w:basedOn w:val="DefaultParagraphFont"/>
    <w:link w:val="CommentText"/>
    <w:uiPriority w:val="99"/>
    <w:semiHidden/>
    <w:rsid w:val="0051615E"/>
    <w:rPr>
      <w:rFonts w:cs="Calibri"/>
      <w:sz w:val="20"/>
      <w:szCs w:val="20"/>
      <w:lang w:eastAsia="en-US"/>
    </w:rPr>
  </w:style>
  <w:style w:type="paragraph" w:styleId="CommentSubject">
    <w:name w:val="annotation subject"/>
    <w:basedOn w:val="CommentText"/>
    <w:next w:val="CommentText"/>
    <w:link w:val="CommentSubjectChar"/>
    <w:uiPriority w:val="99"/>
    <w:semiHidden/>
    <w:rsid w:val="00CD2A75"/>
    <w:rPr>
      <w:b/>
      <w:bCs/>
    </w:rPr>
  </w:style>
  <w:style w:type="character" w:customStyle="1" w:styleId="CommentSubjectChar">
    <w:name w:val="Comment Subject Char"/>
    <w:basedOn w:val="CommentTextChar"/>
    <w:link w:val="CommentSubject"/>
    <w:uiPriority w:val="99"/>
    <w:semiHidden/>
    <w:rsid w:val="0051615E"/>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8672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8642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AIS 2016 Final Conference Report</vt:lpstr>
    </vt:vector>
  </TitlesOfParts>
  <Company>University of Ottawa</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 2016 Final Conference Report</dc:title>
  <dc:subject/>
  <dc:creator>Angus McMurtry</dc:creator>
  <cp:keywords/>
  <dc:description/>
  <cp:lastModifiedBy>Roslyn Schindler</cp:lastModifiedBy>
  <cp:revision>2</cp:revision>
  <cp:lastPrinted>2016-11-21T16:43:00Z</cp:lastPrinted>
  <dcterms:created xsi:type="dcterms:W3CDTF">2017-02-09T20:20:00Z</dcterms:created>
  <dcterms:modified xsi:type="dcterms:W3CDTF">2017-02-09T20:20:00Z</dcterms:modified>
</cp:coreProperties>
</file>